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20-3701075</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8"/>
          <w:szCs w:val="18"/>
          <w:b w:val="1"/>
          <w:bCs w:val="1"/>
          <w:color w:val="auto"/>
        </w:rPr>
        <w:t>811 Louisiana St, Suite 2100</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and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(713) 584-1000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Targa Resources Corp. (the “Company”) held its 2026 Annual Meeting of Stockholders (the “Annual Meeting”) on May 21, 2026. At the Annual Meeting, the Company’s stockholders were requested to: (1) elect four Class I Directors to serve on the Company’s Board of Directors (the “Board”) for a term of office expiring at the Company’s 2029 Annual Meeting of Stockholders; (2) ratify the selection of PricewaterhouseCoopers LLP as the Company’s independent auditors for 2026; and (3) approve, on an advisory basis, the compensation of the Company’s named executive officers for the fiscal year ended December 31, 2025. The following are the final voting results on proposals considered and voted upon at the Annual Meeting, each of which is more fully described in the Company’s definitive proxy statement on Schedule 14A filed with the Securities and Exchange Commission on March 26, 2026:</w:t>
      </w:r>
    </w:p>
    <w:p>
      <w:pPr>
        <w:spacing w:after="0" w:line="189" w:lineRule="exact"/>
        <w:rPr>
          <w:sz w:val="20"/>
          <w:szCs w:val="20"/>
          <w:color w:val="auto"/>
        </w:rPr>
      </w:pPr>
    </w:p>
    <w:p>
      <w:pPr>
        <w:ind w:left="4" w:right="40" w:hanging="4"/>
        <w:spacing w:after="0" w:line="282"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four Class I directors that was up for re-election was elected for a term of three years expiring at the Company’s 2029 Annual Meeting of Stockholders. Votes regarding the election of these directors were as follows: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800" w:type="dxa"/>
            <w:vAlign w:val="bottom"/>
            <w:vMerge w:val="restart"/>
          </w:tcPr>
          <w:p>
            <w:pPr>
              <w:spacing w:after="0"/>
              <w:rPr>
                <w:sz w:val="13"/>
                <w:szCs w:val="13"/>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AGAINST</w:t>
            </w:r>
          </w:p>
        </w:tc>
        <w:tc>
          <w:tcPr>
            <w:tcW w:w="11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ABSTAINED</w:t>
            </w:r>
          </w:p>
        </w:tc>
        <w:tc>
          <w:tcPr>
            <w:tcW w:w="9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W. Chung</w:t>
            </w: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174,201,147</w:t>
            </w: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11,145,675</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39,250</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12,060,443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R. Crisp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178,594,280</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6,738,370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53,423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12,060,442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C. Fulton</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161,582,074</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23,750,294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53,705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12,060,442</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Keith Teague</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179,594,411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5,738,762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12,060,438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PricewaterhouseCoopers LLP was ratified as the Company’s independent auditors for 2026. The voting results were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32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         VOTES FOR       </w:t>
            </w:r>
          </w:p>
        </w:tc>
        <w:tc>
          <w:tcPr>
            <w:tcW w:w="30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         VOTES AGAINST       </w:t>
            </w:r>
          </w:p>
        </w:tc>
        <w:tc>
          <w:tcPr>
            <w:tcW w:w="29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xml:space="preserve">         VOTES ABSTAINED       </w:t>
            </w:r>
          </w:p>
        </w:tc>
      </w:tr>
      <w:tr>
        <w:trPr>
          <w:trHeight w:val="209"/>
        </w:trPr>
        <w:tc>
          <w:tcPr>
            <w:tcW w:w="314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189,588,676</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7,795,387</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62,452</w:t>
            </w:r>
          </w:p>
        </w:tc>
      </w:tr>
    </w:tbl>
    <w:p>
      <w:pPr>
        <w:spacing w:after="0" w:line="198" w:lineRule="exact"/>
        <w:rPr>
          <w:sz w:val="20"/>
          <w:szCs w:val="20"/>
          <w:color w:val="auto"/>
        </w:rPr>
      </w:pPr>
    </w:p>
    <w:p>
      <w:pPr>
        <w:ind w:left="4" w:right="400" w:hanging="4"/>
        <w:spacing w:after="0" w:line="282"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proposal seeking approval, on an advisory basis, of the compensation of the Company’s named executive officers was approved. The voting results were as follows:</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      VOTES FOR    </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      VOTES AGAINST    </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      VOTES ABSTAINED    </w:t>
            </w:r>
          </w:p>
        </w:tc>
        <w:tc>
          <w:tcPr>
            <w:tcW w:w="22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xml:space="preserve">      BROKER NON-VOTES    </w:t>
            </w:r>
          </w:p>
        </w:tc>
      </w:tr>
      <w:tr>
        <w:trPr>
          <w:trHeight w:val="209"/>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176,432,347</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8,616,715</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337,011</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12,060,442</w:t>
            </w:r>
          </w:p>
        </w:tc>
      </w:tr>
    </w:tbl>
    <w:p>
      <w:pPr>
        <w:sectPr>
          <w:pgSz w:w="11900" w:h="16838" w:orient="portrait"/>
          <w:cols w:equalWidth="0" w:num="1">
            <w:col w:w="10964"/>
          </w:cols>
          <w:pgMar w:left="436"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A.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A. Byers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2026-05-22T16:03:39Z</dcterms:created>
  <dcterms:modified xsi:type="dcterms:W3CDTF">2026-05-22T16:03:39Z</dcterms:modified>
</cp:coreProperties>
</file>