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Branstetter Benjamin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811 LOUISIANA, SUITE 2100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Targa Resources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TRGP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2"/>
        <w:gridCol w:w="774"/>
        <w:gridCol w:w="599"/>
        <w:gridCol w:w="340"/>
        <w:gridCol w:w="818"/>
        <w:gridCol w:w="432"/>
        <w:gridCol w:w="834"/>
        <w:gridCol w:w="1478"/>
        <w:gridCol w:w="970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1,346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270.37</w:t>
            </w:r>
          </w:p>
        </w:tc>
        <w:tc>
          <w:tcPr>
            <w:tcW w:w="14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27,941.8235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March 3, 2026, Mr. Branstetter filed a Form 3 which inadvertently reported that he held 36,085.1191 shares of the issuer's common stock, a mistake that was carried forward in Mr. Branstetter's subsequent Form 4 filing. In fact, at that time, Mr. Branstetter held 36,087.8235 shares of the issuer's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President - Logistics and Transportation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Benjamin James Branstetter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3600" TargetMode="External"/><Relationship Id="rId5" Type="http://schemas.openxmlformats.org/officeDocument/2006/relationships/hyperlink" Target="http://www.sec.gov/cgi-bin/browse-edgar?action=getcompany&amp;CIK=00013891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620</Words>
  <Characters>3387</Characters>
  <CharactersWithSpaces>3938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