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Secrest Brent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 LOUISIANA, SUITE 2100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Targa Resources Corp.</w:t>
              </w:r>
            </w:hyperlink>
            <w:r>
              <w:rPr/>
              <w:t xml:space="preserve"> [ </w:t>
            </w:r>
            <w:r>
              <w:rPr>
                <w:rFonts w:ascii="Times;serif" w:hAnsi="Times;serif"/>
                <w:color w:val="0000FF"/>
                <w:sz w:val="24"/>
                <w:shd w:fill="FFFFFF" w:val="clear"/>
              </w:rPr>
              <w:t>TRGP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are held by Secrest Family Partnership, Ltd., a limited partnership. The general partner of Secrest Family Partnership, Ltd. is Secrest Management, LLC, of which Mr. Secrest is a manager.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 Logistics and Transportation See attached for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Brent B. Secrest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pPr>
      <w:bookmarkStart w:id="2" w:name="trgp-ex24.htm"/>
      <w:bookmarkStart w:id="3" w:name="kstrgpex24"/>
      <w:bookmarkEnd w:id="2"/>
      <w:bookmarkEnd w:id="3"/>
      <w:r>
        <w:rPr/>
        <w:t> </w:t>
      </w:r>
      <w:r>
        <w:br w:type="page"/>
      </w:r>
    </w:p>
    <w:p>
      <w:pPr>
        <w:pStyle w:val="TextBody"/>
        <w:bidi w:val="0"/>
        <w:jc w:val="left"/>
        <w:rPr/>
      </w:pPr>
      <w:r>
        <w:rPr/>
        <w:t> </w:t>
      </w:r>
    </w:p>
    <w:p>
      <w:pPr>
        <w:pStyle w:val="TextBody"/>
        <w:bidi w:val="0"/>
        <w:spacing w:before="0" w:after="480"/>
        <w:jc w:val="center"/>
        <w:rPr>
          <w:rFonts w:ascii="Times New Roman" w:hAnsi="Times New Roman"/>
          <w:b/>
          <w:caps/>
          <w:color w:val="000000"/>
          <w:sz w:val="24"/>
        </w:rPr>
      </w:pPr>
      <w:r>
        <w:rPr>
          <w:rFonts w:ascii="Times New Roman" w:hAnsi="Times New Roman"/>
          <w:b/>
          <w:caps/>
          <w:color w:val="000000"/>
          <w:sz w:val="24"/>
        </w:rPr>
        <w:t>POWER OF ATTORNEY</w:t>
        <w:br/>
        <w:t xml:space="preserve">For Executing Forms 3, FORMS 4 and FORMS 5, </w:t>
        <w:br/>
        <w:t>Form 144 and Schedule 13D and 13G</w:t>
      </w:r>
    </w:p>
    <w:p>
      <w:pPr>
        <w:pStyle w:val="TextBody"/>
        <w:bidi w:val="0"/>
        <w:jc w:val="both"/>
        <w:rPr>
          <w:rFonts w:ascii="Times New Roman" w:hAnsi="Times New Roman"/>
          <w:color w:val="000000"/>
          <w:sz w:val="24"/>
        </w:rPr>
      </w:pPr>
      <w:r>
        <w:rPr>
          <w:rFonts w:ascii="Times New Roman" w:hAnsi="Times New Roman"/>
          <w:color w:val="000000"/>
          <w:sz w:val="24"/>
        </w:rPr>
        <w:t>The undersigned hereby constitutes and appoints Matthew J. Meloy, Jennifer R. Kneale and Gerald R. Shrader, with full power of substitution, as the undersigned’s true and lawful attorney-in-fact to:</w:t>
      </w:r>
    </w:p>
    <w:p>
      <w:pPr>
        <w:pStyle w:val="TextBody"/>
        <w:bidi w:val="0"/>
        <w:spacing w:before="240" w:after="6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60"/>
        <w:jc w:val="both"/>
        <w:rPr>
          <w:rFonts w:ascii="Times New Roman" w:hAnsi="Times New Roman"/>
          <w:color w:val="000000"/>
          <w:sz w:val="24"/>
        </w:rPr>
      </w:pPr>
      <w:r>
        <w:rPr>
          <w:rFonts w:ascii="Times New Roman" w:hAnsi="Times New Roman"/>
          <w:color w:val="000000"/>
          <w:sz w:val="24"/>
        </w:rPr>
        <w:t>Execute for and on behalf of the undersigned (a) any Form 3, Form 4 and Form 5 (including amendments thereto) in accordance with Section 16(a) of the Securities Exchange Act of 1934, as amended (the “Exchange Act”), (b) Form 144 and (c) Schedule 13D and Schedule 13G (including amendments thereto) in accordance with Sections 13(d) and 13(g) of the Exchange Act, but only to the extent each form or schedule relates to the undersigned’s beneficial ownership of securities of Targa Resources Corp. (the “Company”) or any of its subsidiaries;</w:t>
      </w:r>
    </w:p>
    <w:p>
      <w:pPr>
        <w:pStyle w:val="TextBody"/>
        <w:bidi w:val="0"/>
        <w:spacing w:before="180" w:after="60"/>
        <w:jc w:val="both"/>
        <w:rPr>
          <w:rFonts w:ascii="Times New Roman" w:hAnsi="Times New Roman"/>
          <w:color w:val="000000"/>
          <w:sz w:val="24"/>
        </w:rPr>
      </w:pPr>
      <w:r>
        <w:rPr>
          <w:rFonts w:ascii="Times New Roman" w:hAnsi="Times New Roman"/>
          <w:color w:val="000000"/>
          <w:sz w:val="24"/>
        </w:rPr>
        <w:t>2.</w:t>
      </w:r>
    </w:p>
    <w:p>
      <w:pPr>
        <w:pStyle w:val="TextBody"/>
        <w:bidi w:val="0"/>
        <w:spacing w:before="180" w:after="60"/>
        <w:jc w:val="both"/>
        <w:rPr>
          <w:rFonts w:ascii="Times New Roman" w:hAnsi="Times New Roman"/>
          <w:color w:val="000000"/>
          <w:sz w:val="24"/>
        </w:rPr>
      </w:pPr>
      <w:r>
        <w:rPr>
          <w:rFonts w:ascii="Times New Roman" w:hAnsi="Times New Roman"/>
          <w:color w:val="000000"/>
          <w:sz w:val="24"/>
        </w:rPr>
        <w:t>Do and perform any and all acts for and on behalf of the undersigned that may be necessary or desirable to complete and execute any Form 3, Form 4, Form 5, Form 144, Schedule 13D or Schedule 13G (including amendments thereto) and timely file the forms or schedules with the Securities and Exchange Commission and any stock exchange or quotation system, self-regulatory association or any other authority, and provide a copy as required by law or advisable to such persons as the attorney-in-fact deems appropriate; and</w:t>
      </w:r>
    </w:p>
    <w:p>
      <w:pPr>
        <w:pStyle w:val="TextBody"/>
        <w:bidi w:val="0"/>
        <w:spacing w:before="180" w:after="60"/>
        <w:jc w:val="both"/>
        <w:rPr>
          <w:rFonts w:ascii="Times New Roman" w:hAnsi="Times New Roman"/>
          <w:color w:val="000000"/>
          <w:sz w:val="24"/>
        </w:rPr>
      </w:pPr>
      <w:r>
        <w:rPr>
          <w:rFonts w:ascii="Times New Roman" w:hAnsi="Times New Roman"/>
          <w:color w:val="000000"/>
          <w:sz w:val="24"/>
        </w:rPr>
        <w:t>3.</w:t>
      </w:r>
    </w:p>
    <w:p>
      <w:pPr>
        <w:pStyle w:val="TextBody"/>
        <w:bidi w:val="0"/>
        <w:spacing w:before="180" w:after="60"/>
        <w:jc w:val="both"/>
        <w:rPr>
          <w:rFonts w:ascii="Times New Roman" w:hAnsi="Times New Roman"/>
          <w:color w:val="000000"/>
          <w:sz w:val="24"/>
        </w:rPr>
      </w:pPr>
      <w:r>
        <w:rPr>
          <w:rFonts w:ascii="Times New Roman" w:hAnsi="Times New Roman"/>
          <w:color w:val="000000"/>
          <w:sz w:val="24"/>
        </w:rPr>
        <w:t>Take any other action in connection with the foregoing that, in the opinion of the attorney-in-fact, may be of benefit to, in the best interest of or legally required of the undersigned, it being understood that the documents executed by the attorney-in-fact on behalf of the undersigned pursuant to this Power of Attorney shall be in the form and shall contain the terms and conditions as the attorney-in-fact may approve in the attorney-in-fact’s discretion.</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hereby grants to the attorney-in-fact full power and authority to do and perform all and every act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granted herein. The undersigned acknowledges that the attorney-in-fact, in serving in such capacity at the request of the undersigned, is not assuming (nor is the Company assuming) any of the undersigned’s responsibilities to comply with Section 16 of the Exchange Act.</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agrees that the attorney-in-fact may rely entirely on information furnished orally or in writing by or at the direction of the undersigned to the attorney-in-fact. The undersigned also agrees to indemnify and hold harmless the Company and the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the attorney-in fact for purposes of executing, acknowledging, delivering or filing a Form 3, Form 4, Form 5, Form 144, Schedule 13D or Schedule 13G (including amendments thereto) and agrees to reimburse the Company and the attorney-in-fact on demand for any legal or other expenses reasonably incurred in connection with investigating or defending against any such loss, claim, damage, liability or action.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 3, Form 4, Form 5, Form 144, Schedule 13D and Schedule 13G (including amendments thereto) with respect to the undersigned’s holdings of and transactions in securities issued by the Company, unless earlier revoked by the undersigned in a signed writing delivered to the attorney-in-fact. This Power of Attorney does not revoke any other power of attorney that the undersigned has previously granted.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the date written below.</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Brent B. Secrest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r>
      <w:tr>
        <w:trPr/>
        <w:tc>
          <w:tcPr>
            <w:tcW w:w="20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Brent B. Secrest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Type or Print Name</w:t>
            </w:r>
          </w:p>
        </w:tc>
      </w:tr>
      <w:tr>
        <w:trPr/>
        <w:tc>
          <w:tcPr>
            <w:tcW w:w="205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September 3, 2026</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98198" TargetMode="External"/><Relationship Id="rId3" Type="http://schemas.openxmlformats.org/officeDocument/2006/relationships/hyperlink" Target="http://www.sec.gov/cgi-bin/browse-edgar?action=getcompany&amp;CIK=00013891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1149</Words>
  <Characters>6076</Characters>
  <CharactersWithSpaces>7171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