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gp-20260630.htm"/>
      <w:bookmarkStart w:id="1" w:name="kstrgp20260630"/>
      <w:bookmarkEnd w:id="0"/>
      <w:bookmarkEnd w:id="1"/>
      <w:r>
        <w:rPr/>
        <w:t> </w:t>
      </w:r>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001-34991</w:t>
      </w:r>
    </w:p>
    <w:p>
      <w:pPr>
        <w:pStyle w:val="TextBody"/>
        <w:bidi w:val="0"/>
        <w:spacing w:before="80" w:after="283"/>
        <w:jc w:val="center"/>
        <w:rPr/>
      </w:pPr>
      <w:r>
        <w:rPr/>
        <w:drawing>
          <wp:inline distT="0" distB="0" distL="0" distR="0">
            <wp:extent cx="16287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552450"/>
                    </a:xfrm>
                    <a:prstGeom prst="rect">
                      <a:avLst/>
                    </a:prstGeom>
                  </pic:spPr>
                </pic:pic>
              </a:graphicData>
            </a:graphic>
          </wp:inline>
        </w:drawing>
      </w:r>
    </w:p>
    <w:p>
      <w:pPr>
        <w:pStyle w:val="TextBody"/>
        <w:bidi w:val="0"/>
        <w:jc w:val="center"/>
        <w:rPr>
          <w:rFonts w:ascii="Times New Roman" w:hAnsi="Times New Roman"/>
          <w:b/>
          <w:color w:val="000000"/>
          <w:sz w:val="44"/>
        </w:rPr>
      </w:pPr>
      <w:r>
        <w:rPr>
          <w:rFonts w:ascii="Times New Roman" w:hAnsi="Times New Roman"/>
          <w:b/>
          <w:color w:val="000000"/>
          <w:sz w:val="44"/>
        </w:rPr>
        <w:t>TARGA RESOURCES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left"/>
        <w:rPr/>
      </w:pPr>
      <w:r>
        <w:rPr/>
        <w:t> </w:t>
      </w:r>
    </w:p>
    <w:tbl>
      <w:tblPr>
        <w:tblW w:w="8481" w:type="dxa"/>
        <w:jc w:val="left"/>
        <w:tblInd w:w="0" w:type="dxa"/>
        <w:tblLayout w:type="fixed"/>
        <w:tblCellMar>
          <w:top w:w="28" w:type="dxa"/>
          <w:left w:w="28" w:type="dxa"/>
          <w:bottom w:w="28" w:type="dxa"/>
          <w:right w:w="28" w:type="dxa"/>
        </w:tblCellMar>
      </w:tblPr>
      <w:tblGrid>
        <w:gridCol w:w="5236"/>
        <w:gridCol w:w="109"/>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20-3701075</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r>
        <w:trPr/>
        <w:tc>
          <w:tcPr>
            <w:tcW w:w="5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 Louisiana Street, Suite 2100, Houston,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77002</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(713) 584-1000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708" w:type="dxa"/>
        <w:jc w:val="left"/>
        <w:tblInd w:w="0" w:type="dxa"/>
        <w:tblLayout w:type="fixed"/>
        <w:tblCellMar>
          <w:top w:w="28" w:type="dxa"/>
          <w:left w:w="28" w:type="dxa"/>
          <w:bottom w:w="28" w:type="dxa"/>
          <w:right w:w="28" w:type="dxa"/>
        </w:tblCellMar>
      </w:tblPr>
      <w:tblGrid>
        <w:gridCol w:w="1621"/>
        <w:gridCol w:w="1696"/>
        <w:gridCol w:w="3391"/>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TRGP</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As of July 31, 2026, there were 214,431,021</w:t>
      </w:r>
      <w:r>
        <w:rPr>
          <w:rFonts w:ascii="Times New Roman" w:hAnsi="Times New Roman"/>
          <w:color w:val="000000"/>
          <w:sz w:val="20"/>
        </w:rPr>
        <w:t xml:space="preserve"> </w:t>
      </w:r>
      <w:r>
        <w:rPr>
          <w:rFonts w:ascii="Times New Roman" w:hAnsi="Times New Roman"/>
          <w:color w:val="000000"/>
          <w:sz w:val="16"/>
        </w:rPr>
        <w:t>shares of the registrant’s common stock, $0.001 par value, outstanding.</w:t>
      </w:r>
    </w:p>
    <w:p>
      <w:pPr>
        <w:pStyle w:val="TextBody"/>
        <w:bidi w:val="0"/>
        <w:jc w:val="left"/>
        <w:rPr/>
      </w:pPr>
      <w:r>
        <w:rPr/>
        <w:t> </w:t>
      </w:r>
    </w:p>
    <w:p>
      <w:pPr>
        <w:pStyle w:val="TextBody"/>
        <w:pBdr>
          <w:bottom w:val="double" w:sz="6" w:space="1" w:color="000000"/>
        </w:pBdr>
        <w:bidi w:val="0"/>
        <w:jc w:val="left"/>
        <w:rPr>
          <w:rFonts w:ascii="Times New Roman" w:hAnsi="Times New Roman"/>
          <w:sz w:val="20"/>
        </w:rPr>
      </w:pPr>
      <w:r>
        <w:rPr>
          <w:rFonts w:ascii="Times New Roman" w:hAnsi="Times New Roman"/>
          <w:b/>
          <w:color w:val="000000"/>
          <w:sz w:val="16"/>
        </w:rPr>
        <w:t>Total number of pages</w:t>
      </w:r>
      <w:r>
        <w:rPr>
          <w:rFonts w:ascii="Times New Roman" w:hAnsi="Times New Roman"/>
          <w:color w:val="000000"/>
          <w:sz w:val="20"/>
        </w:rPr>
        <w:t xml:space="preserve"> </w:t>
      </w:r>
      <w:r>
        <w:rPr>
          <w:rFonts w:ascii="Times New Roman" w:hAnsi="Times New Roman"/>
          <w:color w:val="000000"/>
          <w:sz w:val="16"/>
        </w:rPr>
        <w:t>(excluding Exhibits): 51</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94"/>
        <w:gridCol w:w="146"/>
        <w:gridCol w:w="465"/>
      </w:tblGrid>
      <w:tr>
        <w:trPr/>
        <w:tc>
          <w:tcPr>
            <w:tcW w:w="9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9594"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balance_sheets">
              <w:r>
                <w:rPr>
                  <w:rStyle w:val="InternetLink"/>
                  <w:rFonts w:ascii="Times New Roman" w:hAnsi="Times New Roman"/>
                  <w:color w:val="0000FF"/>
                  <w:sz w:val="20"/>
                  <w:u w:val="single"/>
                </w:rPr>
                <w:t>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operations">
              <w:r>
                <w:rPr>
                  <w:rStyle w:val="InternetLink"/>
                  <w:rFonts w:ascii="Times New Roman" w:hAnsi="Times New Roman"/>
                  <w:color w:val="0000FF"/>
                  <w:sz w:val="20"/>
                  <w:u w:val="single"/>
                </w:rPr>
                <w:t>Consolidated Statements of Operations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comprehensive_in">
              <w:r>
                <w:rPr>
                  <w:rStyle w:val="InternetLink"/>
                  <w:rFonts w:ascii="Times New Roman" w:hAnsi="Times New Roman"/>
                  <w:color w:val="0000FF"/>
                  <w:sz w:val="20"/>
                  <w:u w:val="single"/>
                </w:rPr>
                <w:t>Consolidated Statements of Comprehensive Income (Loss)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tatements_owner_equity">
              <w:r>
                <w:rPr>
                  <w:rStyle w:val="InternetLink"/>
                  <w:rFonts w:ascii="Times New Roman" w:hAnsi="Times New Roman"/>
                  <w:color w:val="0000FF"/>
                  <w:sz w:val="20"/>
                  <w:u w:val="single"/>
                </w:rPr>
                <w:t>Consolidated Statements of Changes in Owners’ Equity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5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9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ABOUT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Resources Corp.’s (together with its subsidiaries, including Targa Resources Partners LP (the “Partnership”), “we,” “us,” “our,” “Targa,” “TRGP,” or the “Company”) reports, filings and other public announcements may from time to time contain statements that do not directly or exclusively relate to historical facts. Such statements are “forward-looking statements.” You can typically identify forward-looking statements within the meaning of Section 27A of the Securities Act of 1933, as amended, and Section 21E of the Securities Exchange Act of 1934, as amended, by the use of forward-looking statements, such as “may,” “could,” “project,” “believe,” “anticipate,” “expect,” “estimate,” “potential,” “plan,” “forecast” and other similar words.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statements that are not statements of historical facts, including statements regarding our future financial position, business strategy, budgets, projected costs and plans and objectives of management for future operations, are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following risks and uncertainties: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and success of crude oil and natural gas drilling around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taken by other countries with significant hydrocarbon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extent of changes in natural gas, natural gas liquids, crude oil and other commodity prices, interest rates and demand for our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through internal growth capital projects or acquisitions and the successful integration and future performance of such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of business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timely obtain and maintain necessary licenses, permits and other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industry changes, including the impact of consolidation, changes in competition and any increase in the use of alternative forms of energy for oil, natural gas and NGLs;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downside commodity price volatility from a variety of potential factors that can result in lower activity in our areas of operation;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in risk management activities, including the use of derivative instruments to hedge commodity price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market and business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impact of significant public health crises and their impact on demand for oil, natural gas and NGLs;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weather and other natural phenomena, and related impacts;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access the capital markets on favorable terms, or at all, which depends on general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creditworthiness of our counterparties;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particularly with regard to taxes, tariffs and international trade, safety and the protection of the environment;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risks described in our annual report on Form 10-K for the year ended December 31, 2025 (“Annual Report”) and our reports and registration statements filed from time to time with the United States Securities and Exchange Commission (“SEC”).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we believe that the assumptions underlying our forward-looking statements are reasonable, any of the assumptions could be inaccurate, and, therefore, we cannot assure you that the forward-looking statements included in this quarterly report on Form 10-Q for the quarter ended June 30, 2026 (“Quarterly Report”) will prove to be accurate. Some of these and other risks and uncertainties that could cause actual results to differ materially from such forward-looking statements are more fully described in our Annual Report. Except as may be required by applicable law, we undertake no obligation to publicly update or advise of any change in any forward-looking statement,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generally used in the energy industry and in this Quarterly Report, the identified terms have the following meanings:</w:t>
      </w:r>
    </w:p>
    <w:tbl>
      <w:tblPr>
        <w:tblW w:w="7078" w:type="dxa"/>
        <w:jc w:val="left"/>
        <w:tblInd w:w="0" w:type="dxa"/>
        <w:tblLayout w:type="fixed"/>
        <w:tblCellMar>
          <w:top w:w="28" w:type="dxa"/>
          <w:left w:w="28" w:type="dxa"/>
          <w:bottom w:w="28" w:type="dxa"/>
          <w:right w:w="28" w:type="dxa"/>
        </w:tblCellMar>
      </w:tblPr>
      <w:tblGrid>
        <w:gridCol w:w="826"/>
        <w:gridCol w:w="146"/>
        <w:gridCol w:w="610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Barrels (equal to 42 U.S. gallons)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Billion British thermal units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Billion cubic feet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British thermal units, a measure of heating value</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Per day</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Federal Energy Regulatory Commission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principles generally accepted in the United States of America</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gallons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LPG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Liquefied petroleum gas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Thousand barrels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MMBbl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Million barrels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Million British thermal units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Million cubic feet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MMgal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Million U.S. gallons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NGL(s)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Natural gas liquid(s)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NYMEX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New York Mercantile Exchange</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NYSE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New York Stock Exchange</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SCOOP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Central Oklahoma Oil Province</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Sooner Trend, Anadarko, Canadian and Kingfisher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4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40" w:after="283"/>
        <w:jc w:val="both"/>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41"/>
        <w:gridCol w:w="222"/>
        <w:gridCol w:w="835"/>
        <w:gridCol w:w="166"/>
        <w:gridCol w:w="146"/>
        <w:gridCol w:w="273"/>
        <w:gridCol w:w="1029"/>
        <w:gridCol w:w="1393"/>
      </w:tblGrid>
      <w:tr>
        <w:trPr/>
        <w:tc>
          <w:tcPr>
            <w:tcW w:w="61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Trade receivables, net of allowances of $0.7</w:t>
            </w:r>
            <w:r>
              <w:rPr>
                <w:rFonts w:ascii="Times New Roman" w:hAnsi="Times New Roman"/>
                <w:color w:val="000000"/>
                <w:sz w:val="20"/>
              </w:rPr>
              <w:t> </w:t>
            </w:r>
            <w:r>
              <w:rPr>
                <w:rFonts w:ascii="Times New Roman" w:hAnsi="Times New Roman"/>
                <w:color w:val="000000"/>
                <w:sz w:val="16"/>
              </w:rPr>
              <w:t>million and $0.7</w:t>
            </w:r>
            <w:r>
              <w:rPr>
                <w:rFonts w:ascii="Times New Roman" w:hAnsi="Times New Roman"/>
                <w:color w:val="000000"/>
                <w:sz w:val="20"/>
              </w:rPr>
              <w:t> </w:t>
            </w:r>
            <w:r>
              <w:rPr>
                <w:rFonts w:ascii="Times New Roman" w:hAnsi="Times New Roman"/>
                <w:color w:val="000000"/>
                <w:sz w:val="16"/>
              </w:rPr>
              <w:t>million as of June 30, 2026 and December 31, 2025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429.3</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Assets from risk management activities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2,362.7</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20,534.8</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1,651.4</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assets from risk management activities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unconsolidated affiliates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25,218.4</w:t>
            </w:r>
          </w:p>
        </w:tc>
        <w:tc>
          <w:tcPr>
            <w:tcW w:w="1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OWNERS’ EQUITY</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1,873.0</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Liabilities from risk management activities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debt obligations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770.1</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3,546.8</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16,662.4</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 from risk management activities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1,393.5</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395.0</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Contingencies (see Note 13)</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Owners’ equity:</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Targa Resources Corp. stockholders’ equity:</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450,000,000</w:t>
            </w:r>
            <w:r>
              <w:rPr>
                <w:rFonts w:ascii="Times New Roman" w:hAnsi="Times New Roman"/>
                <w:color w:val="000000"/>
                <w:sz w:val="20"/>
              </w:rPr>
              <w:t> </w:t>
            </w:r>
            <w:r>
              <w:rPr>
                <w:rFonts w:ascii="Times New Roman" w:hAnsi="Times New Roman"/>
                <w:color w:val="000000"/>
                <w:sz w:val="16"/>
              </w:rPr>
              <w:t>shares authorized as of June 30, 2026 and December 31, 2025)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sz w:val="16"/>
              </w:rPr>
            </w:pPr>
            <w:r>
              <w:rPr>
                <w:rFonts w:ascii="Times New Roman" w:hAnsi="Times New Roman"/>
                <w:color w:val="000000"/>
                <w:sz w:val="16"/>
                <w:u w:val="single"/>
              </w:rPr>
              <w:t>Issued</w:t>
            </w:r>
            <w:r>
              <w:rPr>
                <w:rFonts w:ascii="Times New Roman" w:hAnsi="Times New Roman"/>
                <w:color w:val="000000"/>
                <w:sz w:val="16"/>
              </w:rPr>
              <w:t xml:space="preserve"> </w:t>
            </w:r>
            <w:r>
              <w:rPr>
                <w:rFonts w:ascii="Times New Roman" w:hAnsi="Times New Roman"/>
                <w:color w:val="000000"/>
                <w:sz w:val="16"/>
                <w:u w:val="single"/>
              </w:rPr>
              <w:t>Outstanding</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20"/>
              </w:rPr>
            </w:pPr>
            <w:r>
              <w:rPr>
                <w:rFonts w:ascii="Times New Roman" w:hAnsi="Times New Roman"/>
                <w:color w:val="000000"/>
                <w:sz w:val="16"/>
              </w:rPr>
              <w:t>June 30, 2026 243,246,851</w:t>
            </w:r>
            <w:r>
              <w:rPr>
                <w:rFonts w:ascii="Times New Roman" w:hAnsi="Times New Roman"/>
                <w:color w:val="000000"/>
                <w:sz w:val="20"/>
              </w:rPr>
              <w:t xml:space="preserve"> </w:t>
            </w:r>
            <w:r>
              <w:rPr>
                <w:rFonts w:ascii="Times New Roman" w:hAnsi="Times New Roman"/>
                <w:color w:val="000000"/>
                <w:sz w:val="16"/>
              </w:rPr>
              <w:t>214,422,392</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20"/>
              </w:rPr>
            </w:pPr>
            <w:r>
              <w:rPr>
                <w:rFonts w:ascii="Times New Roman" w:hAnsi="Times New Roman"/>
                <w:color w:val="000000"/>
                <w:sz w:val="16"/>
              </w:rPr>
              <w:t>December 31, 2025 242,770,213</w:t>
            </w:r>
            <w:r>
              <w:rPr>
                <w:rFonts w:ascii="Times New Roman" w:hAnsi="Times New Roman"/>
                <w:color w:val="000000"/>
                <w:sz w:val="20"/>
              </w:rPr>
              <w:t xml:space="preserve"> </w:t>
            </w:r>
            <w:r>
              <w:rPr>
                <w:rFonts w:ascii="Times New Roman" w:hAnsi="Times New Roman"/>
                <w:color w:val="000000"/>
                <w:sz w:val="16"/>
              </w:rPr>
              <w:t>214,662,156</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3,088.1</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 (deficit)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2,294.4</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Treasury stock, at cost (28,824,459</w:t>
            </w:r>
            <w:r>
              <w:rPr>
                <w:rFonts w:ascii="Times New Roman" w:hAnsi="Times New Roman"/>
                <w:color w:val="000000"/>
                <w:sz w:val="20"/>
              </w:rPr>
              <w:t> </w:t>
            </w:r>
            <w:r>
              <w:rPr>
                <w:rFonts w:ascii="Times New Roman" w:hAnsi="Times New Roman"/>
                <w:color w:val="000000"/>
                <w:sz w:val="16"/>
              </w:rPr>
              <w:t>shares and 28,108,057</w:t>
            </w:r>
            <w:r>
              <w:rPr>
                <w:rFonts w:ascii="Times New Roman" w:hAnsi="Times New Roman"/>
                <w:color w:val="000000"/>
                <w:sz w:val="20"/>
              </w:rPr>
              <w:t> </w:t>
            </w:r>
            <w:r>
              <w:rPr>
                <w:rFonts w:ascii="Times New Roman" w:hAnsi="Times New Roman"/>
                <w:color w:val="000000"/>
                <w:sz w:val="16"/>
              </w:rPr>
              <w:t>shares as of June 30, 2026 and December 31, 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(2,428.6</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Targa Resources Corp. stockholders’ equity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3,067.9</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owners’ equity</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3,198.2</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owners’ equity</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25,218.4</w:t>
            </w:r>
          </w:p>
        </w:tc>
        <w:tc>
          <w:tcPr>
            <w:tcW w:w="1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7"/>
        </w:rPr>
      </w:pPr>
      <w:r>
        <w:rPr>
          <w:rFonts w:ascii="Times New Roman" w:hAnsi="Times New Roman"/>
          <w:color w:val="000000"/>
          <w:sz w:val="17"/>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tbl>
      <w:tblPr>
        <w:tblW w:w="9466" w:type="dxa"/>
        <w:jc w:val="left"/>
        <w:tblInd w:w="0" w:type="dxa"/>
        <w:tblLayout w:type="fixed"/>
        <w:tblCellMar>
          <w:top w:w="28" w:type="dxa"/>
          <w:left w:w="28" w:type="dxa"/>
          <w:bottom w:w="28" w:type="dxa"/>
          <w:right w:w="28" w:type="dxa"/>
        </w:tblCellMar>
      </w:tblPr>
      <w:tblGrid>
        <w:gridCol w:w="4411"/>
        <w:gridCol w:w="222"/>
        <w:gridCol w:w="733"/>
        <w:gridCol w:w="188"/>
        <w:gridCol w:w="165"/>
        <w:gridCol w:w="222"/>
        <w:gridCol w:w="733"/>
        <w:gridCol w:w="166"/>
        <w:gridCol w:w="146"/>
        <w:gridCol w:w="203"/>
        <w:gridCol w:w="670"/>
        <w:gridCol w:w="172"/>
        <w:gridCol w:w="151"/>
        <w:gridCol w:w="203"/>
        <w:gridCol w:w="670"/>
        <w:gridCol w:w="411"/>
      </w:tblGrid>
      <w:tr>
        <w:trPr/>
        <w:tc>
          <w:tcPr>
            <w:tcW w:w="44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per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of commodities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Fees from midstream services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and expenses:</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Product purchases and fuel</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operating (income) expense</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from operations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net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earnings (loss)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income taxes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Net income (loss) attributable to noncontrolling interests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Premium on repurchase of noncontrolling interests, net of tax</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common shareholders</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common share - basic</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common share - diluted</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 average shares outstanding - basic</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Weighted average shares outstanding - diluted</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CONSOLIDATED STATEMENTS OF COMPREHENSIVE INCOME (LOSS)</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910"/>
        <w:gridCol w:w="146"/>
        <w:gridCol w:w="196"/>
        <w:gridCol w:w="511"/>
        <w:gridCol w:w="166"/>
        <w:gridCol w:w="146"/>
        <w:gridCol w:w="299"/>
        <w:gridCol w:w="736"/>
        <w:gridCol w:w="166"/>
        <w:gridCol w:w="146"/>
        <w:gridCol w:w="209"/>
        <w:gridCol w:w="546"/>
        <w:gridCol w:w="166"/>
        <w:gridCol w:w="146"/>
        <w:gridCol w:w="204"/>
        <w:gridCol w:w="502"/>
        <w:gridCol w:w="166"/>
        <w:gridCol w:w="146"/>
        <w:gridCol w:w="299"/>
        <w:gridCol w:w="736"/>
        <w:gridCol w:w="166"/>
        <w:gridCol w:w="146"/>
        <w:gridCol w:w="209"/>
        <w:gridCol w:w="546"/>
        <w:gridCol w:w="596"/>
      </w:tblGrid>
      <w:tr>
        <w:trPr/>
        <w:tc>
          <w:tcPr>
            <w:tcW w:w="2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Income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Income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Commodity hedging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Settlements reclassified to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Comprehensive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attributable to Targa Resources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879"/>
        <w:gridCol w:w="146"/>
        <w:gridCol w:w="204"/>
        <w:gridCol w:w="502"/>
        <w:gridCol w:w="166"/>
        <w:gridCol w:w="146"/>
        <w:gridCol w:w="322"/>
        <w:gridCol w:w="697"/>
        <w:gridCol w:w="146"/>
        <w:gridCol w:w="146"/>
        <w:gridCol w:w="196"/>
        <w:gridCol w:w="646"/>
        <w:gridCol w:w="166"/>
        <w:gridCol w:w="146"/>
        <w:gridCol w:w="204"/>
        <w:gridCol w:w="502"/>
        <w:gridCol w:w="166"/>
        <w:gridCol w:w="146"/>
        <w:gridCol w:w="339"/>
        <w:gridCol w:w="680"/>
        <w:gridCol w:w="166"/>
        <w:gridCol w:w="146"/>
        <w:gridCol w:w="208"/>
        <w:gridCol w:w="545"/>
        <w:gridCol w:w="595"/>
      </w:tblGrid>
      <w:tr>
        <w:trPr/>
        <w:tc>
          <w:tcPr>
            <w:tcW w:w="2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Income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Income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Tax</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8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Commodity hedging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Settlements reclassified to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932.7</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Comprehensive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attributable to Targa Resources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915.3</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6952"/>
        <w:gridCol w:w="146"/>
        <w:gridCol w:w="196"/>
        <w:gridCol w:w="796"/>
        <w:gridCol w:w="166"/>
        <w:gridCol w:w="146"/>
        <w:gridCol w:w="196"/>
        <w:gridCol w:w="796"/>
        <w:gridCol w:w="81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in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Compensation on equity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(earnings) loss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Distributions of earnings received from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Risk management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Receivables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accrued liabilities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Outlays for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Outlays for business acquisition,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Return of capital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borrowings of commercial paper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46,656.2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commercial paper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(47,119.7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borrowings under accounts receivable securitization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accounts receivable securitization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issuance of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Redemption of senior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Principal payments of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Costs incurred in connection with financing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tendered for tax withholding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paid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b/>
          <w:color w:val="000000"/>
          <w:sz w:val="20"/>
        </w:rPr>
      </w:pPr>
      <w:bookmarkStart w:id="8" w:name="consolidated_statements_owner_equity"/>
      <w:bookmarkEnd w:id="8"/>
      <w:r>
        <w:rPr>
          <w:rFonts w:ascii="Times New Roman" w:hAnsi="Times New Roman"/>
          <w:b/>
          <w:color w:val="000000"/>
          <w:sz w:val="20"/>
        </w:rPr>
        <w:t>CONSOLIDATED STATEMENTS OF CHANGES IN OWNERS’ EQUITY</w:t>
      </w:r>
    </w:p>
    <w:p>
      <w:pPr>
        <w:pStyle w:val="TextBody"/>
        <w:bidi w:val="0"/>
        <w:jc w:val="center"/>
        <w:rPr/>
      </w:pPr>
      <w:r>
        <w:rPr/>
        <w:t> </w:t>
      </w:r>
    </w:p>
    <w:tbl>
      <w:tblPr>
        <w:tblW w:w="11294" w:type="dxa"/>
        <w:jc w:val="left"/>
        <w:tblInd w:w="0" w:type="dxa"/>
        <w:tblLayout w:type="fixed"/>
        <w:tblCellMar>
          <w:top w:w="28" w:type="dxa"/>
          <w:left w:w="28" w:type="dxa"/>
          <w:bottom w:w="28" w:type="dxa"/>
          <w:right w:w="28" w:type="dxa"/>
        </w:tblCellMar>
      </w:tblPr>
      <w:tblGrid>
        <w:gridCol w:w="1171"/>
        <w:gridCol w:w="146"/>
        <w:gridCol w:w="146"/>
        <w:gridCol w:w="691"/>
        <w:gridCol w:w="166"/>
        <w:gridCol w:w="249"/>
        <w:gridCol w:w="442"/>
        <w:gridCol w:w="146"/>
        <w:gridCol w:w="202"/>
        <w:gridCol w:w="669"/>
        <w:gridCol w:w="146"/>
        <w:gridCol w:w="258"/>
        <w:gridCol w:w="853"/>
        <w:gridCol w:w="166"/>
        <w:gridCol w:w="351"/>
        <w:gridCol w:w="865"/>
        <w:gridCol w:w="166"/>
        <w:gridCol w:w="146"/>
        <w:gridCol w:w="601"/>
        <w:gridCol w:w="146"/>
        <w:gridCol w:w="196"/>
        <w:gridCol w:w="706"/>
        <w:gridCol w:w="166"/>
        <w:gridCol w:w="332"/>
        <w:gridCol w:w="869"/>
        <w:gridCol w:w="166"/>
        <w:gridCol w:w="196"/>
        <w:gridCol w:w="646"/>
        <w:gridCol w:w="2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shares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on equity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equivalent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 on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 $1.25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3,795.7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274" w:type="dxa"/>
        <w:jc w:val="left"/>
        <w:tblInd w:w="0" w:type="dxa"/>
        <w:tblLayout w:type="fixed"/>
        <w:tblCellMar>
          <w:top w:w="28" w:type="dxa"/>
          <w:left w:w="28" w:type="dxa"/>
          <w:bottom w:w="28" w:type="dxa"/>
          <w:right w:w="28" w:type="dxa"/>
        </w:tblCellMar>
      </w:tblPr>
      <w:tblGrid>
        <w:gridCol w:w="1171"/>
        <w:gridCol w:w="146"/>
        <w:gridCol w:w="146"/>
        <w:gridCol w:w="691"/>
        <w:gridCol w:w="166"/>
        <w:gridCol w:w="249"/>
        <w:gridCol w:w="442"/>
        <w:gridCol w:w="146"/>
        <w:gridCol w:w="202"/>
        <w:gridCol w:w="669"/>
        <w:gridCol w:w="146"/>
        <w:gridCol w:w="258"/>
        <w:gridCol w:w="853"/>
        <w:gridCol w:w="166"/>
        <w:gridCol w:w="385"/>
        <w:gridCol w:w="831"/>
        <w:gridCol w:w="146"/>
        <w:gridCol w:w="146"/>
        <w:gridCol w:w="601"/>
        <w:gridCol w:w="146"/>
        <w:gridCol w:w="196"/>
        <w:gridCol w:w="706"/>
        <w:gridCol w:w="166"/>
        <w:gridCol w:w="332"/>
        <w:gridCol w:w="869"/>
        <w:gridCol w:w="166"/>
        <w:gridCol w:w="196"/>
        <w:gridCol w:w="646"/>
        <w:gridCol w:w="2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shares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2,572.7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on equity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equivalent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compensation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tendered for tax withholding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 on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 $1.00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294" w:type="dxa"/>
        <w:jc w:val="left"/>
        <w:tblInd w:w="0" w:type="dxa"/>
        <w:tblLayout w:type="fixed"/>
        <w:tblCellMar>
          <w:top w:w="28" w:type="dxa"/>
          <w:left w:w="28" w:type="dxa"/>
          <w:bottom w:w="28" w:type="dxa"/>
          <w:right w:w="28" w:type="dxa"/>
        </w:tblCellMar>
      </w:tblPr>
      <w:tblGrid>
        <w:gridCol w:w="1171"/>
        <w:gridCol w:w="146"/>
        <w:gridCol w:w="146"/>
        <w:gridCol w:w="691"/>
        <w:gridCol w:w="166"/>
        <w:gridCol w:w="249"/>
        <w:gridCol w:w="442"/>
        <w:gridCol w:w="146"/>
        <w:gridCol w:w="202"/>
        <w:gridCol w:w="669"/>
        <w:gridCol w:w="146"/>
        <w:gridCol w:w="258"/>
        <w:gridCol w:w="853"/>
        <w:gridCol w:w="166"/>
        <w:gridCol w:w="336"/>
        <w:gridCol w:w="880"/>
        <w:gridCol w:w="166"/>
        <w:gridCol w:w="146"/>
        <w:gridCol w:w="601"/>
        <w:gridCol w:w="146"/>
        <w:gridCol w:w="196"/>
        <w:gridCol w:w="706"/>
        <w:gridCol w:w="166"/>
        <w:gridCol w:w="332"/>
        <w:gridCol w:w="869"/>
        <w:gridCol w:w="166"/>
        <w:gridCol w:w="196"/>
        <w:gridCol w:w="646"/>
        <w:gridCol w:w="2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shares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3,198.2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on equity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equivalent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compensation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tendered for tax withholding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 on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 $2.25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3,795.7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354" w:type="dxa"/>
        <w:jc w:val="left"/>
        <w:tblInd w:w="0" w:type="dxa"/>
        <w:tblLayout w:type="fixed"/>
        <w:tblCellMar>
          <w:top w:w="28" w:type="dxa"/>
          <w:left w:w="28" w:type="dxa"/>
          <w:bottom w:w="28" w:type="dxa"/>
          <w:right w:w="28" w:type="dxa"/>
        </w:tblCellMar>
      </w:tblPr>
      <w:tblGrid>
        <w:gridCol w:w="1171"/>
        <w:gridCol w:w="146"/>
        <w:gridCol w:w="146"/>
        <w:gridCol w:w="691"/>
        <w:gridCol w:w="166"/>
        <w:gridCol w:w="249"/>
        <w:gridCol w:w="442"/>
        <w:gridCol w:w="146"/>
        <w:gridCol w:w="202"/>
        <w:gridCol w:w="669"/>
        <w:gridCol w:w="166"/>
        <w:gridCol w:w="258"/>
        <w:gridCol w:w="853"/>
        <w:gridCol w:w="166"/>
        <w:gridCol w:w="385"/>
        <w:gridCol w:w="831"/>
        <w:gridCol w:w="146"/>
        <w:gridCol w:w="146"/>
        <w:gridCol w:w="601"/>
        <w:gridCol w:w="146"/>
        <w:gridCol w:w="196"/>
        <w:gridCol w:w="706"/>
        <w:gridCol w:w="166"/>
        <w:gridCol w:w="260"/>
        <w:gridCol w:w="941"/>
        <w:gridCol w:w="166"/>
        <w:gridCol w:w="196"/>
        <w:gridCol w:w="706"/>
        <w:gridCol w:w="2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shares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4,418.2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 on equity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equivalent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compensation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tendered for tax withholding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Excise tax on 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 $1.75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noncontrolling interests,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2,711.4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TARGA RESOURCES CORP.</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noted within the context of each footnote disclosure, the dollar amounts presented in the tabular data within these footnote disclosures are stated in millions of dollars.</w:t>
      </w:r>
    </w:p>
    <w:p>
      <w:pPr>
        <w:pStyle w:val="TextBody"/>
        <w:bidi w:val="0"/>
        <w:jc w:val="both"/>
        <w:rPr/>
      </w:pPr>
      <w:r>
        <w:rPr/>
        <w:t> </w:t>
      </w:r>
    </w:p>
    <w:p>
      <w:pPr>
        <w:pStyle w:val="TextBody"/>
        <w:bidi w:val="0"/>
        <w:jc w:val="both"/>
        <w:rPr>
          <w:rFonts w:ascii="Times New Roman" w:hAnsi="Times New Roman"/>
          <w:b/>
          <w:color w:val="000000"/>
          <w:sz w:val="20"/>
        </w:rPr>
      </w:pPr>
      <w:bookmarkStart w:id="10" w:name="note_1_organization_operations"/>
      <w:bookmarkEnd w:id="10"/>
      <w:r>
        <w:rPr>
          <w:rFonts w:ascii="Times New Roman" w:hAnsi="Times New Roman"/>
          <w:b/>
          <w:color w:val="000000"/>
          <w:sz w:val="20"/>
        </w:rPr>
        <w:t>Note 1 — Organization and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this Quarterly Report, unless the context requires otherwise, references to “we,” “us,” “our,” “the Company,” “Targa” or “TRGP” are intended to mean our consolidated business and operations. TRGP controls the general partner of and owns all of the outstanding common units representing limited partner interests in Targa Resources Partners LP, referred to herein as the “Partnership.” Targa consolidates the Partnership and its subsidiaries under GAAP, and the accompanying consolidated financial statements have been prepared under the rules and regulations of the SEC. Targa’s consolidated financial statements include differences from the consolidated financial statements of the Partnership. The most noteworthy differences are: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inclusion of the TRGP senior revolving credit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inclusion of the TRGP senior unsecured notes;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inclusion of the TRGP commercial paper notes;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impacts of TRGP’s treatment as a corporation for U.S. federal income tax purposes.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primarily engaged in the business of:</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gathering, compressing, treating, processing, transporting, and purchasing and selling natural gas;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transporting, storing, fractionating, treating, and purchasing and selling NGLs and NGL products, including services to LPG exporters;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gathering, storing, terminaling, and purchasing and selling crude oil.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17 – Segment Information” for certain financial information regarding our business segments.</w:t>
      </w:r>
    </w:p>
    <w:p>
      <w:pPr>
        <w:pStyle w:val="TextBody"/>
        <w:bidi w:val="0"/>
        <w:jc w:val="both"/>
        <w:rPr/>
      </w:pPr>
      <w:r>
        <w:rPr/>
        <w:t> </w:t>
      </w:r>
    </w:p>
    <w:p>
      <w:pPr>
        <w:pStyle w:val="TextBody"/>
        <w:bidi w:val="0"/>
        <w:jc w:val="both"/>
        <w:rPr>
          <w:rFonts w:ascii="Times New Roman" w:hAnsi="Times New Roman"/>
          <w:sz w:val="20"/>
        </w:rPr>
      </w:pPr>
      <w:bookmarkStart w:id="11" w:name="note_2_basis_presentation"/>
      <w:bookmarkEnd w:id="11"/>
      <w:r>
        <w:rPr>
          <w:rFonts w:ascii="Times New Roman" w:hAnsi="Times New Roman"/>
          <w:b/>
          <w:color w:val="000000"/>
          <w:sz w:val="20"/>
        </w:rPr>
        <w:t>Note 2 — Basis</w:t>
      </w:r>
      <w:r>
        <w:rPr>
          <w:rFonts w:ascii="Times New Roman" w:hAnsi="Times New Roman"/>
          <w:color w:val="000000"/>
          <w:sz w:val="20"/>
        </w:rPr>
        <w:t xml:space="preserve"> </w:t>
      </w:r>
      <w:r>
        <w:rPr>
          <w:rFonts w:ascii="Times New Roman" w:hAnsi="Times New Roman"/>
          <w:b/>
          <w:color w:val="000000"/>
          <w:sz w:val="20"/>
        </w:rPr>
        <w:t>of Presentation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consolidated financial statements have been prepared in accordance with the instructions to Form 10-Q and do not include all information and disclosures required by GAAP. Therefore, this information should be read in conjunction with our consolidated financial statements and notes contained in our Annual Report. The information furnished herein reflects all adjustments that are, in the opinion of management, of a normal recurring nature and considered necessary for a fair statement of the results of the interim periods reported. All significant intercompany balances and transactions have been eliminated in consolidation. Certain amounts in prior periods have been reclassified to conform to the current year presentation. Operating results for the three and six months ended June 30, 2026 are not necessarily indicative of the results that may be expected for the year ending December 31,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2" w:name="note_3_significant_accounting_policies"/>
      <w:bookmarkEnd w:id="12"/>
      <w:r>
        <w:rPr>
          <w:rFonts w:ascii="Times New Roman" w:hAnsi="Times New Roman"/>
          <w:b/>
          <w:color w:val="000000"/>
          <w:sz w:val="20"/>
        </w:rPr>
        <w:t>Note 3 — Significant</w:t>
      </w:r>
      <w:r>
        <w:rPr>
          <w:rFonts w:ascii="Times New Roman" w:hAnsi="Times New Roman"/>
          <w:color w:val="000000"/>
          <w:sz w:val="20"/>
        </w:rPr>
        <w:t xml:space="preserve"> </w:t>
      </w:r>
      <w:r>
        <w:rPr>
          <w:rFonts w:ascii="Times New Roman" w:hAnsi="Times New Roman"/>
          <w:b/>
          <w:color w:val="000000"/>
          <w:sz w:val="20"/>
        </w:rPr>
        <w:t>Accounting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accounting policies that we follow are set forth in “Note 3 – Significant Accounting Policies” of the Notes to Consolidated Financial Statements in our Annual Report. Other than the updates noted below, there were no significant updates or revisions to our accounting policies during the six months ended June 30,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2024, the FASB issued ASU 2024-03, Comprehensive income (Topic 220): Disaggregation of Income Statement Expenses. The amendments in this update require, among other items, that public entities disclose, on an annual and interim basis, in tabular format in the footnotes to the financial statements, disaggregated information about specific categories underlying certain income statement expense line items that contain any of the following expense categories (i) purchases of inventory, (ii) employee compensation, (iii) depreciation, (iv) intangible asset amortization, and (v) depletion. Additionally, the amendments require disclosure of the total amount of selling expenses and an annual disclosure of the definition of selling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amendments are effective for fiscal years beginning after December 15, 2026, and for interim periods within fiscal years beginning after December 15, 2027, with early adoption permitted. The disclosures may be applied either prospectively or retrospectively to any or all prior periods presented in the financial statements. We are evaluating the effect of the amendments on our notes to consolidated financial statements and expect to disclose the required information for fiscal years beginning in the annual report on Form 10-K for the year ending December 31, 2027 and for interim periods beginning in the quarterly report on Form 10-Q for the quarter ending March 31, 2028. The impact of the adoption will be limited to disclosure in the notes to consolidated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Targeted Improvements to the Accounting for Internal-Use Software</w:t>
      </w:r>
    </w:p>
    <w:p>
      <w:pPr>
        <w:pStyle w:val="TextBody"/>
        <w:bidi w:val="0"/>
        <w:jc w:val="both"/>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Other—Internal-Use Software (Subtopic 350-40): Targeted Improvements to the Accounting for Internal-Use Software. The amendments in this update, among other items, remove all references to prescriptive and sequential software development stages and require entities to start capitalizing software costs when (i) management has authorized and committed to funding the software project, and (ii) it is probable that the project will be completed and the software will be used to perform the function intended. </w:t>
      </w:r>
    </w:p>
    <w:p>
      <w:pPr>
        <w:pStyle w:val="TextBody"/>
        <w:bidi w:val="0"/>
        <w:jc w:val="both"/>
        <w:rPr>
          <w:rFonts w:ascii="Times New Roman" w:hAnsi="Times New Roman"/>
          <w:color w:val="000000"/>
          <w:sz w:val="20"/>
        </w:rPr>
      </w:pPr>
      <w:r>
        <w:rPr>
          <w:rFonts w:ascii="Times New Roman" w:hAnsi="Times New Roman"/>
          <w:color w:val="000000"/>
          <w:sz w:val="20"/>
        </w:rPr>
        <w:t>These amendments are effective for fiscal years, and interim periods within those fiscal years, beginning after December 15, 2027, with early adoption permitted. The amendments permit the use of prospective, modified retrospective, or full retrospective transition approaches. We are evaluating the effect of the amendments on our consolidated financial statements and related disclosures. We expect to apply the amendments for interim periods beginning in the quarterly report on Form 10-Q for the quarter ending March 31, 2028 and for fiscal years beginning in the annual report on Form 10-K for the year ending December 31, 2028.</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Accounting for Government Grants Received by Business Entities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2025, the FASB issued ASU 2025-10, Government Grants (Topic 832): Accounting for Government Grants Received by Business Entities. The amendments in this update, among other items, establish guidance on the recognition, measurement and presentation of government grants received by a business entity.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amendments are effective for fiscal years, and interim periods within those fiscal years, beginning after December 15, 2028, with early adoption permitted. The amendments permit the use of modified prospective, modified retrospective, or retrospective approaches. We are evaluating the effect of the amendments on our consolidated financial statements and related disclosures. We expect to apply the amendments for interim periods beginning in the quarterly report on Form 10-Q for the quarter ending March 31, 2029 and for fiscal years beginning in the annual report on Form 10-K for the year ending December 31, 2029.</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note_4_newlyformed_joint_ventures_acquis"/>
      <w:bookmarkEnd w:id="13"/>
      <w:r>
        <w:rPr>
          <w:rFonts w:ascii="Times New Roman" w:hAnsi="Times New Roman"/>
          <w:b/>
          <w:color w:val="000000"/>
          <w:sz w:val="20"/>
        </w:rPr>
        <w:t>Note 4 — Acquisitions and Joint Ventures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Badlands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March 2025, we completed the acquisition of Blackstone’s 45% interest in Targa Badlands LLC (“Targa Badlands”) for aggregate consideration of $1.8 billion in cash, with an additional $0.4 million of capitalized transaction costs (the “Badlands Transaction”). As a result of the acquisition, we own 100% of the interests in and earnings of Targa Badlands effective January 1, 2025. The change in our ownership interest was accounted for as an equity transaction representing the acquisition of noncontrolling interests. The amount of the redemption price in excess of the carrying amount, net of tax, was $70.5 million, which was accounted for as a premium on repurchase of noncontrolling interests, and resulted in a reduction to Net income (loss) attributable to common shareholders.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Dovetail Acquisition</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December 2025, we completed the purchase of all of the membership interests in Dovetail Midstream, LLC (“Dovetail”), a wholly-owned subsidiary of Riley Exploration Permian, Inc (“Riley”) and the purchase of certain compressor assets from Riley for aggregate cash consideration of approximately $122.8 million, subject to customary closing adjustments (the “Dovetail Acquisition”). The assets acquired in the Dovetail Acquisition primarily consist of compression and natural gas gathering infrastructure in Eddy County, New Mexico. Subject to certain volume-based performance thresholds, additional cash of up to $60.0 million may be payable to Riley over a five-year period from the acquisition date.</w:t>
      </w:r>
    </w:p>
    <w:p>
      <w:pPr>
        <w:pStyle w:val="TextBody"/>
        <w:bidi w:val="0"/>
        <w:jc w:val="both"/>
        <w:rPr>
          <w:rFonts w:ascii="Times New Roman" w:hAnsi="Times New Roman"/>
          <w:color w:val="000000"/>
          <w:sz w:val="20"/>
        </w:rPr>
      </w:pPr>
      <w:r>
        <w:rPr>
          <w:rFonts w:ascii="Times New Roman" w:hAnsi="Times New Roman"/>
          <w:color w:val="000000"/>
          <w:sz w:val="20"/>
        </w:rPr>
        <w:t>The Dovetail Acquisition was accounted for under the acquisition method in accordance with ASC 805, Business Combinations, which requires, among other things, assets acquired and liabilities assumed to be recorded at their fair value on the acquisition date. The preliminary valuation of the acquired assets and liabilities was prepared using fair value methods and assumptions, including projections of future production volumes, commodity prices, and other cash flows, market-participant assumptions (e.g., discount rate and exit multiple), tangible asset replacement costs, and other management estimates. The fair value measurements of assets acquired and liabilities assumed are based on inputs that are not observable in the market and therefore represent Level 3 inputs, as defined in “Note 12 – Fair Value Measurements.” These inputs require judgments and estimates at the time of valuation.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in the process of finalizing valuations related to property, plant and equipment, goodwill, and contingent consideration. The final valuation will be completed no later than one year from the acquisition date.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Stakeholder Acquisition</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January 2026, we completed the acquisition of all of the membership interests in Stakeholder Midstream, LLC (“Stakeholder”) for a purchase price of $1.25 billion (the “Stakeholder Acquisition”), subject to customary closing adjustments. We acquired a portfolio of complementary Permian Basin midstream infrastructure assets, including approximately 480 miles of natural gas pipelines, approximately 180 MMcf/d of cryogenic natural gas processing and sour treating capacity, carbon capture activities generating 45Q tax credits, and a small crude oil gathering system. The Stakeholder assets have been integrated into our Permian Delaware operations. The acquisition had an effective date of January 1, 2026. We used $650.0 million in borrowings from our Commercial Paper Program and $600.0 million from our Securitization Facility to fund the Stakeholder Acquisition.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Stakeholder Acquisition was accounted for under the acquisition method in accordance with ASC 805, Business Combinations, which requires, among other things, assets acquired and liabilities assumed to be recorded at their fair value on the acquisition date. The preliminary allocation of the purchase price, which is subject to certain adjustments, was based upon preliminary valuations from estimates and assumptions that management believes are reasonable; however, management’s estimates and assumptions are subject to change upon the completion of the final valuations or as information necessary to complete the fair value analysis is obtained. The valuation of the acquired assets and liabilities was prepared using fair value methods and assumptions, including projections of future production volumes, commodity prices, and other cash flows, market-participant assumptions (e.g., discount rate and exit multiple), expectations regarding customer contracts and relationships, tangible asset replacement costs, and other management estimates. The fair value measurements of assets acquired and liabilities assumed are based on inputs that are not observable in the market and therefore represent Level 3 inputs, as defined in “Note 12 – Fair Value Measurements.” These inputs require judgments and estimates at the time of valuation. We are in the process of finalizing valuations related to the Stakeholder Acquisition, including the fair value of the property, plant and equipment, and identifiable intangible assets acquired. The final valuation will be completed no later than one year from the acquisition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following table summarizes the preliminary fair values assigned to assets acquired and liabilities assumed: </w:t>
      </w:r>
    </w:p>
    <w:tbl>
      <w:tblPr>
        <w:tblW w:w="3589" w:type="dxa"/>
        <w:jc w:val="left"/>
        <w:tblInd w:w="0" w:type="dxa"/>
        <w:tblLayout w:type="fixed"/>
        <w:tblCellMar>
          <w:top w:w="28" w:type="dxa"/>
          <w:left w:w="28" w:type="dxa"/>
          <w:bottom w:w="28" w:type="dxa"/>
          <w:right w:w="28" w:type="dxa"/>
        </w:tblCellMar>
      </w:tblPr>
      <w:tblGrid>
        <w:gridCol w:w="2536"/>
        <w:gridCol w:w="196"/>
        <w:gridCol w:w="646"/>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receivables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price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preliminary value of property, plant and equipment is determined using the cost approach and is primarily comprised of Gathering and Processing assets that will be depreciated on a straight-line basis over an estimated weighted-average useful life of 20 years. The associated useful lives of property, plant and equipment were based on the period over which the assets are expected to contribute directly or indirectly to our future cash flows.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preliminary value of intangible assets is comprised of customer relationships, which represent the estimated value of existing long-term contracts with customers and the expected continuation of those relationships through future renewals, that will be amortized in a manner that closely resembles the expected benefit pattern of the intangible assets over an estimated useful life of 12 years. The associated useful lives of intangible assets were based on the period over which the assets are expected to contribute directly or indirectly to our future cash flows. The preliminary fair value of customer relationships was determined at the date of acquisition based on the present value of estimated future cash flows using the multi-period excess earnings method. The significant assumptions used by management in determining the fair value of customer relationships intangible assets include future revenues, discount rate, and customer attrition rates.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results of operations attributable to the assets and liabilities acquired in the Stakeholder Acquisition have been included in our consolidated financial statements as part of our Permian Delaware operations in our Gathering and Processing segment since the date of the acquisition. Revenues and Net Income attributable to the assets acquired were $65.7 million and $12.7 million, respectively, for the three months ended June 30, 2026, and $125.4 million and $22.5 million, respectively, for the six months ended June 30, 2026. We expensed $8.9 million of acquisition-related costs. </w:t>
      </w:r>
    </w:p>
    <w:p>
      <w:pPr>
        <w:pStyle w:val="TextBody"/>
        <w:bidi w:val="0"/>
        <w:jc w:val="both"/>
        <w:rPr>
          <w:rFonts w:ascii="Times New Roman" w:hAnsi="Times New Roman"/>
          <w:b/>
          <w:i/>
          <w:color w:val="000000"/>
          <w:sz w:val="20"/>
        </w:rPr>
      </w:pPr>
      <w:r>
        <w:rPr>
          <w:rFonts w:ascii="Times New Roman" w:hAnsi="Times New Roman"/>
          <w:b/>
          <w:i/>
          <w:color w:val="000000"/>
          <w:sz w:val="20"/>
        </w:rPr>
        <w:t>Unaudited Pro Forma Financial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unaudited pro forma summary presents the consolidated results of operations for the three and six months ended June 30, 2026 and 2025 as if the Stakeholder Acquisition had occurred on January 1, 2025. The unaudited pro forma financial information is presented for informational purposes only and is not necessarily indicative of our results of operations that would have occurred had the transaction been consummated at the beginning of the period presented, nor is it necessarily indicative of future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summarized unaudited pro forma information reflects certain adjustments directly attributable to the Stakeholder Acquisition, including those due to conforming the acquiree’s presentation of revenue to Targa’s accounting policies, incremental depreciation and amortization related to the stepped-up fair value of assets acquired, recognition of incremental interest expense related to debt issued in connection with the acquisition, and recognition of transaction costs incurred. The pro forma information includes the income tax effects of the adjustments. The unaudited pro forma information does not reflect any anticipated cost savings, synergies or integration costs related to the Stakeholder Acquisition.</w:t>
      </w:r>
    </w:p>
    <w:p>
      <w:pPr>
        <w:pStyle w:val="TextBody"/>
        <w:bidi w:val="0"/>
        <w:jc w:val="both"/>
        <w:rPr/>
      </w:pPr>
      <w:r>
        <w:rPr/>
        <w:t> </w:t>
      </w:r>
    </w:p>
    <w:tbl>
      <w:tblPr>
        <w:tblW w:w="6297" w:type="dxa"/>
        <w:jc w:val="left"/>
        <w:tblInd w:w="0" w:type="dxa"/>
        <w:tblLayout w:type="fixed"/>
        <w:tblCellMar>
          <w:top w:w="28" w:type="dxa"/>
          <w:left w:w="28" w:type="dxa"/>
          <w:bottom w:w="28" w:type="dxa"/>
          <w:right w:w="28" w:type="dxa"/>
        </w:tblCellMar>
      </w:tblPr>
      <w:tblGrid>
        <w:gridCol w:w="1336"/>
        <w:gridCol w:w="146"/>
        <w:gridCol w:w="224"/>
        <w:gridCol w:w="740"/>
        <w:gridCol w:w="167"/>
        <w:gridCol w:w="167"/>
        <w:gridCol w:w="224"/>
        <w:gridCol w:w="740"/>
        <w:gridCol w:w="146"/>
        <w:gridCol w:w="146"/>
        <w:gridCol w:w="205"/>
        <w:gridCol w:w="677"/>
        <w:gridCol w:w="153"/>
        <w:gridCol w:w="153"/>
        <w:gridCol w:w="205"/>
        <w:gridCol w:w="677"/>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Property, Plant and Equipment and Intangible Assets</w:t>
      </w:r>
    </w:p>
    <w:p>
      <w:pPr>
        <w:pStyle w:val="TextBody"/>
        <w:bidi w:val="0"/>
        <w:jc w:val="left"/>
        <w:rPr/>
      </w:pPr>
      <w:r>
        <w:rPr/>
        <w:t> </w:t>
      </w:r>
    </w:p>
    <w:tbl>
      <w:tblPr>
        <w:tblW w:w="10197" w:type="dxa"/>
        <w:jc w:val="left"/>
        <w:tblInd w:w="0" w:type="dxa"/>
        <w:tblLayout w:type="fixed"/>
        <w:tblCellMar>
          <w:top w:w="28" w:type="dxa"/>
          <w:left w:w="28" w:type="dxa"/>
          <w:bottom w:w="28" w:type="dxa"/>
          <w:right w:w="28" w:type="dxa"/>
        </w:tblCellMar>
      </w:tblPr>
      <w:tblGrid>
        <w:gridCol w:w="4236"/>
        <w:gridCol w:w="146"/>
        <w:gridCol w:w="222"/>
        <w:gridCol w:w="903"/>
        <w:gridCol w:w="166"/>
        <w:gridCol w:w="146"/>
        <w:gridCol w:w="296"/>
        <w:gridCol w:w="1204"/>
        <w:gridCol w:w="166"/>
        <w:gridCol w:w="146"/>
        <w:gridCol w:w="2566"/>
      </w:tblGrid>
      <w:tr>
        <w:trPr/>
        <w:tc>
          <w:tcPr>
            <w:tcW w:w="4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Lives (In Years)</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Gathering systems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to 20</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Processing and fractionation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to 25</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Terminaling and storage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to 25</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to 50</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w:t>
            </w:r>
            <w:r>
              <w:rPr>
                <w:rFonts w:ascii="Times New Roman" w:hAnsi="Times New Roman"/>
                <w:color w:val="000000"/>
                <w:sz w:val="20"/>
              </w:rPr>
              <w:t> </w:t>
            </w:r>
            <w:r>
              <w:rPr>
                <w:rFonts w:ascii="Times New Roman" w:hAnsi="Times New Roman"/>
                <w:color w:val="000000"/>
                <w:sz w:val="16"/>
              </w:rPr>
              <w:t>to 25</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right-of-use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sz w:val="20"/>
              </w:rPr>
            </w:pPr>
            <w:r>
              <w:rPr>
                <w:rFonts w:ascii="Times New Roman" w:hAnsi="Times New Roman"/>
                <w:color w:val="000000"/>
                <w:sz w:val="16"/>
              </w:rPr>
              <w:t>5</w:t>
            </w:r>
            <w:r>
              <w:rPr>
                <w:rFonts w:ascii="Times New Roman" w:hAnsi="Times New Roman"/>
                <w:color w:val="000000"/>
                <w:sz w:val="20"/>
              </w:rPr>
              <w:t> </w:t>
            </w:r>
            <w:r>
              <w:rPr>
                <w:rFonts w:ascii="Times New Roman" w:hAnsi="Times New Roman"/>
                <w:color w:val="000000"/>
                <w:sz w:val="16"/>
              </w:rPr>
              <w:t>to 14</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depreciation,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to 20</w:t>
            </w:r>
          </w:p>
        </w:tc>
      </w:tr>
      <w:tr>
        <w:trPr/>
        <w:tc>
          <w:tcPr>
            <w:tcW w:w="4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Times New Roman" w:hAnsi="Times New Roman"/>
          <w:sz w:val="20"/>
        </w:rPr>
      </w:pPr>
      <w:r>
        <w:rPr>
          <w:rFonts w:ascii="Times New Roman" w:hAnsi="Times New Roman"/>
          <w:color w:val="000000"/>
          <w:sz w:val="16"/>
        </w:rPr>
        <w:t>(1) The balance as of June 30, 2026 includes amounts related to the amendment of a compressor lease agreement. See “Note 8 – Leases</w:t>
      </w:r>
      <w:r>
        <w:rPr>
          <w:rFonts w:ascii="Times New Roman" w:hAnsi="Times New Roman"/>
          <w:color w:val="000000"/>
          <w:sz w:val="20"/>
        </w:rPr>
        <w:t xml:space="preserve">” </w:t>
      </w:r>
      <w:r>
        <w:rPr>
          <w:rFonts w:ascii="Times New Roman" w:hAnsi="Times New Roman"/>
          <w:color w:val="000000"/>
          <w:sz w:val="16"/>
        </w:rPr>
        <w:t>for further details.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depreciation expense was $351.1 million and $673.9 million, respectively. During the three and six months ended June 30, 2025, depreciation expense was $292.2 million and $578.3 million, respectively.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consist of customer contracts and customer relationships acquired in our business combinations. The fair value of these acquired intangible assets were determined at the date of acquisition based on the present values of estimated future cash flows. Amortization expense attributable to these assets is recorded over the periods in which we benefit from services provided to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six months ended June 30, 2026, amortization expense was $102.0 million and $205.2 million, respectively. During the three and six months ended June 30, 2025, amortization expense was $81.5 million and $163.0 million,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annual amortization expense for intangible assets is approximately $410.3 million, $377.2 million, $327.2 million, $286.8 million and $241.2 million for each of the years 2026 through 2030,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changes in our intangible assets for the period presented:</w:t>
      </w:r>
    </w:p>
    <w:p>
      <w:pPr>
        <w:pStyle w:val="TextBody"/>
        <w:bidi w:val="0"/>
        <w:jc w:val="both"/>
        <w:rPr/>
      </w:pPr>
      <w:r>
        <w:rPr/>
        <w:t> </w:t>
      </w:r>
    </w:p>
    <w:tbl>
      <w:tblPr>
        <w:tblW w:w="5848" w:type="dxa"/>
        <w:jc w:val="left"/>
        <w:tblInd w:w="0" w:type="dxa"/>
        <w:tblLayout w:type="fixed"/>
        <w:tblCellMar>
          <w:top w:w="28" w:type="dxa"/>
          <w:left w:w="28" w:type="dxa"/>
          <w:bottom w:w="28" w:type="dxa"/>
          <w:right w:w="28" w:type="dxa"/>
        </w:tblCellMar>
      </w:tblPr>
      <w:tblGrid>
        <w:gridCol w:w="2896"/>
        <w:gridCol w:w="146"/>
        <w:gridCol w:w="576"/>
        <w:gridCol w:w="1899"/>
        <w:gridCol w:w="33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from Stakeholder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 Investments in Unconsolidated Affiliates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investments in unconsolidated affiliates consist of the following: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Gathering and Processing Segment</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50% operated ownership interest in Little Missouri 4 LLC (“Little Missouri 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Logistics and Transportation Segment</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38.8% operated ownership interest in Gulf Coast Fractionators (“GCF”);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50% operated ownership interest in Cayenne Pipeline, LLC (“Cayenne”);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17.5% non-operated ownership interest in Blackcomb and Traverse pipelines, which are currently under construction, held by the Blackcomb joint venture.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terms of these joint venture agreements do not afford us the degree of control required for consolidating the entities in our consolidated financial statements, but do afford us the significant influence required to employ the equity method of accounting.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activity related to our investments in unconsolidated affiliates: </w:t>
      </w:r>
    </w:p>
    <w:p>
      <w:pPr>
        <w:pStyle w:val="TextBody"/>
        <w:bidi w:val="0"/>
        <w:jc w:val="both"/>
        <w:rPr/>
      </w:pPr>
      <w:r>
        <w:rPr/>
        <w:t> </w:t>
      </w:r>
    </w:p>
    <w:tbl>
      <w:tblPr>
        <w:tblW w:w="9991" w:type="dxa"/>
        <w:jc w:val="left"/>
        <w:tblInd w:w="0" w:type="dxa"/>
        <w:tblLayout w:type="fixed"/>
        <w:tblCellMar>
          <w:top w:w="28" w:type="dxa"/>
          <w:left w:w="28" w:type="dxa"/>
          <w:bottom w:w="28" w:type="dxa"/>
          <w:right w:w="28" w:type="dxa"/>
        </w:tblCellMar>
      </w:tblPr>
      <w:tblGrid>
        <w:gridCol w:w="1261"/>
        <w:gridCol w:w="146"/>
        <w:gridCol w:w="414"/>
        <w:gridCol w:w="1086"/>
        <w:gridCol w:w="146"/>
        <w:gridCol w:w="146"/>
        <w:gridCol w:w="556"/>
        <w:gridCol w:w="1199"/>
        <w:gridCol w:w="166"/>
        <w:gridCol w:w="146"/>
        <w:gridCol w:w="415"/>
        <w:gridCol w:w="1025"/>
        <w:gridCol w:w="166"/>
        <w:gridCol w:w="146"/>
        <w:gridCol w:w="432"/>
        <w:gridCol w:w="933"/>
        <w:gridCol w:w="146"/>
        <w:gridCol w:w="146"/>
        <w:gridCol w:w="312"/>
        <w:gridCol w:w="813"/>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Earnings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Contributions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Little Missouri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Cayenne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Blackcomb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Includes capitalized interest of $1.9</w:t>
      </w:r>
      <w:r>
        <w:rPr>
          <w:rFonts w:ascii="Times New Roman" w:hAnsi="Times New Roman"/>
          <w:color w:val="000000"/>
          <w:sz w:val="20"/>
        </w:rPr>
        <w:t xml:space="preserve"> </w:t>
      </w:r>
      <w:r>
        <w:rPr>
          <w:rFonts w:ascii="Times New Roman" w:hAnsi="Times New Roman"/>
          <w:color w:val="000000"/>
          <w:sz w:val="16"/>
        </w:rPr>
        <w:t>million related to our contributions to Blackcomb.</w:t>
      </w:r>
    </w:p>
    <w:p>
      <w:pPr>
        <w:pStyle w:val="TextBody"/>
        <w:bidi w:val="0"/>
        <w:jc w:val="left"/>
        <w:rPr/>
      </w:pPr>
      <w:r>
        <w:rPr/>
        <w:t> </w:t>
      </w:r>
    </w:p>
    <w:tbl>
      <w:tblPr>
        <w:tblW w:w="9991" w:type="dxa"/>
        <w:jc w:val="left"/>
        <w:tblInd w:w="0" w:type="dxa"/>
        <w:tblLayout w:type="fixed"/>
        <w:tblCellMar>
          <w:top w:w="28" w:type="dxa"/>
          <w:left w:w="28" w:type="dxa"/>
          <w:bottom w:w="28" w:type="dxa"/>
          <w:right w:w="28" w:type="dxa"/>
        </w:tblCellMar>
      </w:tblPr>
      <w:tblGrid>
        <w:gridCol w:w="1261"/>
        <w:gridCol w:w="146"/>
        <w:gridCol w:w="414"/>
        <w:gridCol w:w="1086"/>
        <w:gridCol w:w="146"/>
        <w:gridCol w:w="146"/>
        <w:gridCol w:w="556"/>
        <w:gridCol w:w="1199"/>
        <w:gridCol w:w="166"/>
        <w:gridCol w:w="146"/>
        <w:gridCol w:w="415"/>
        <w:gridCol w:w="1025"/>
        <w:gridCol w:w="166"/>
        <w:gridCol w:w="146"/>
        <w:gridCol w:w="493"/>
        <w:gridCol w:w="872"/>
        <w:gridCol w:w="146"/>
        <w:gridCol w:w="146"/>
        <w:gridCol w:w="312"/>
        <w:gridCol w:w="813"/>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Earnings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Contributions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Little Missouri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Cayenne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Blackcomb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Includes capitalized interest of $3.7</w:t>
      </w:r>
      <w:r>
        <w:rPr>
          <w:rFonts w:ascii="Times New Roman" w:hAnsi="Times New Roman"/>
          <w:color w:val="000000"/>
          <w:sz w:val="20"/>
        </w:rPr>
        <w:t xml:space="preserve"> </w:t>
      </w:r>
      <w:r>
        <w:rPr>
          <w:rFonts w:ascii="Times New Roman" w:hAnsi="Times New Roman"/>
          <w:color w:val="000000"/>
          <w:sz w:val="16"/>
        </w:rPr>
        <w:t>million related to our contributions to Blackcomb.</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note_10_debt_obligations"/>
      <w:bookmarkEnd w:id="14"/>
      <w:r>
        <w:rPr>
          <w:rFonts w:ascii="Times New Roman" w:hAnsi="Times New Roman"/>
          <w:b/>
          <w:color w:val="000000"/>
          <w:sz w:val="20"/>
        </w:rPr>
        <w:t>Note 7 — Debt Obligations</w:t>
      </w:r>
    </w:p>
    <w:tbl>
      <w:tblPr>
        <w:tblW w:w="9460" w:type="dxa"/>
        <w:jc w:val="left"/>
        <w:tblInd w:w="0" w:type="dxa"/>
        <w:tblLayout w:type="fixed"/>
        <w:tblCellMar>
          <w:top w:w="28" w:type="dxa"/>
          <w:left w:w="28" w:type="dxa"/>
          <w:bottom w:w="28" w:type="dxa"/>
          <w:right w:w="28" w:type="dxa"/>
        </w:tblCellMar>
      </w:tblPr>
      <w:tblGrid>
        <w:gridCol w:w="5586"/>
        <w:gridCol w:w="146"/>
        <w:gridCol w:w="236"/>
        <w:gridCol w:w="889"/>
        <w:gridCol w:w="166"/>
        <w:gridCol w:w="146"/>
        <w:gridCol w:w="315"/>
        <w:gridCol w:w="1185"/>
        <w:gridCol w:w="79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Partnership accounts receivable securitization facility, due August 2026</w:t>
            </w:r>
            <w:r>
              <w:rPr>
                <w:rFonts w:ascii="Times New Roman" w:hAnsi="Times New Roman"/>
                <w:color w:val="000000"/>
                <w:sz w:val="20"/>
              </w:rPr>
              <w:t> </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unsecured notes issued by the Partnership: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6.875% fixed rate, due January 2029</w:t>
            </w:r>
            <w:r>
              <w:rPr>
                <w:rFonts w:ascii="Times New Roman" w:hAnsi="Times New Roman"/>
                <w:color w:val="000000"/>
                <w:sz w:val="20"/>
              </w:rPr>
              <w:t>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issuance costs, net of amortization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liabilities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Current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TRGP senior revolving credit facility, variable rate, due February 2030</w:t>
            </w:r>
            <w:r>
              <w:rPr>
                <w:rFonts w:ascii="Times New Roman" w:hAnsi="Times New Roman"/>
                <w:color w:val="000000"/>
                <w:sz w:val="20"/>
              </w:rPr>
              <w:t> </w:t>
            </w: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unsecured notes issued by TRGP: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5.200% fixed rate, due July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4.350% fixed rate, due January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6.150% fixed rate, due March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4.900% fixed rate, due September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4.350% fixed rate, due April 2031</w:t>
            </w:r>
            <w:r>
              <w:rPr>
                <w:rFonts w:ascii="Times New Roman" w:hAnsi="Times New Roman"/>
                <w:color w:val="000000"/>
                <w:sz w:val="20"/>
              </w:rPr>
              <w:t> </w:t>
            </w: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4.200% fixed rate, due</w:t>
            </w:r>
            <w:r>
              <w:rPr>
                <w:rFonts w:ascii="Times New Roman" w:hAnsi="Times New Roman"/>
                <w:color w:val="000000"/>
                <w:sz w:val="20"/>
              </w:rPr>
              <w:t xml:space="preserve"> </w:t>
            </w:r>
            <w:r>
              <w:rPr>
                <w:rFonts w:ascii="Times New Roman" w:hAnsi="Times New Roman"/>
                <w:color w:val="000000"/>
                <w:sz w:val="16"/>
              </w:rPr>
              <w:t>February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6.125% fixed rate, due March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6.500% fixed rate, due March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5.500% fixed rate, due</w:t>
            </w:r>
            <w:r>
              <w:rPr>
                <w:rFonts w:ascii="Times New Roman" w:hAnsi="Times New Roman"/>
                <w:color w:val="000000"/>
                <w:sz w:val="20"/>
              </w:rPr>
              <w:t xml:space="preserve"> </w:t>
            </w:r>
            <w:r>
              <w:rPr>
                <w:rFonts w:ascii="Times New Roman" w:hAnsi="Times New Roman"/>
                <w:color w:val="000000"/>
                <w:sz w:val="16"/>
              </w:rPr>
              <w:t>February 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5.550% fixed rate, due August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5.650% fixed rate, due February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5.400% fixed rate, due</w:t>
            </w:r>
            <w:r>
              <w:rPr>
                <w:rFonts w:ascii="Times New Roman" w:hAnsi="Times New Roman"/>
                <w:color w:val="000000"/>
                <w:sz w:val="20"/>
              </w:rPr>
              <w:t xml:space="preserve"> </w:t>
            </w:r>
            <w:r>
              <w:rPr>
                <w:rFonts w:ascii="Times New Roman" w:hAnsi="Times New Roman"/>
                <w:color w:val="000000"/>
                <w:sz w:val="16"/>
              </w:rPr>
              <w:t>July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4.950% fixed rate, due April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6.250% fixed rate, due July 2052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6.500% fixed rate, due February 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6.125% fixed rate, due May 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6"/>
              </w:rPr>
              <w:t>6.050% fixed rate, due May 2056</w:t>
            </w:r>
            <w:r>
              <w:rPr>
                <w:rFonts w:ascii="Times New Roman" w:hAnsi="Times New Roman"/>
                <w:color w:val="000000"/>
                <w:sz w:val="20"/>
              </w:rPr>
              <w:t> </w:t>
            </w: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Unamortized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unsecured notes issued by the Partnership: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5.000% fixed rate, due January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5.500% fixed rate, due March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4.875% fixed rate, due February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4.000% fixed rate, due January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16,522.6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issuance costs, net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lease liabilities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17,432.5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Irrevocable standby letters of credit: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Letters of credit outstanding under the TRGP senior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As of June 30, 2026, the Partnership had $451.0 million of qualifying receivables under its $600.0 million accounts receivable securitization facility (the “Securitization Facility”), resulting in $149.0 million remaining availability. In July 2026, the Partnership amended the Securitization Facility to, among other things, extend the facility termination date to July 30, 2027 and increase the total borrowing capacity from up to $600.0 million to up to $800.0 million.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 guarantee all of the Partnership’s outstanding senior unsecured notes.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On January 15, 2026, we used borrowings under the Commercial Paper Program and available cash to fund the redemption of all of the Partnership’s 6.875% Senior Unsecured Notes due 2029.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balance as of June 30, 2026 includes amounts related to the amendment of a compressor lease agreement. See “Note 8 – Leases” for further details.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 maintain an unsecured commercial paper note program (the “Commercial Paper Program”), the borrowings of which are supported through maintaining a minimum available borrowing capacity under the $3.5 billion TRGP senior revolving credit facility (the “TRGP Revolver”), equal to the aggregate amount outstanding under the Commercial Paper Program at any one time not to exceed $3.5 billion. The TRGP Revolver had no borrowings outstanding and the Commercial Paper Program had approximately $0.6 billion of borrowings outstanding, resulting in approximately $2.9 billion of availability under the TRGP Revolver as of June 30, 2026, after accounting for outstanding letters of credit.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jc w:val="both"/>
        <w:rPr>
          <w:rFonts w:ascii="Times New Roman" w:hAnsi="Times New Roman"/>
          <w:color w:val="000000"/>
          <w:sz w:val="16"/>
        </w:rPr>
      </w:pPr>
      <w:r>
        <w:rPr>
          <w:rFonts w:ascii="Times New Roman" w:hAnsi="Times New Roman"/>
          <w:color w:val="000000"/>
          <w:sz w:val="16"/>
        </w:rPr>
        <w:t xml:space="preserve">In March 2026, we completed an underwritten public offering of (i) $750.0 million aggregate principal amount of our 4.350% Senior Unsecured Notes due 2031 and (ii) $750.0 million aggregate principal amount of our 6.050% Senior Unsecured Notes due 2056, resulting in net proceeds of approximately $1,483.2 million. We used a portion of the net proceeds to reduce borrowings under the Commercial Paper Program.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range of interest rates and weighted average interest rate incurred on our variable-rate debt obligations during the six months ended June 30, 2026: </w:t>
      </w:r>
    </w:p>
    <w:p>
      <w:pPr>
        <w:pStyle w:val="TextBody"/>
        <w:bidi w:val="0"/>
        <w:jc w:val="both"/>
        <w:rPr/>
      </w:pPr>
      <w:r>
        <w:rPr/>
        <w:t> </w:t>
      </w:r>
    </w:p>
    <w:tbl>
      <w:tblPr>
        <w:tblW w:w="9430" w:type="dxa"/>
        <w:jc w:val="left"/>
        <w:tblInd w:w="0" w:type="dxa"/>
        <w:tblLayout w:type="fixed"/>
        <w:tblCellMar>
          <w:top w:w="28" w:type="dxa"/>
          <w:left w:w="28" w:type="dxa"/>
          <w:bottom w:w="28" w:type="dxa"/>
          <w:right w:w="28" w:type="dxa"/>
        </w:tblCellMar>
      </w:tblPr>
      <w:tblGrid>
        <w:gridCol w:w="3481"/>
        <w:gridCol w:w="146"/>
        <w:gridCol w:w="2491"/>
        <w:gridCol w:w="146"/>
        <w:gridCol w:w="316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Interest Rates Incurred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Interest Rate Incurred</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TRGP Revolver and Commercial Paper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Securitization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 - 4.5%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Compliance with Debt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were in compliance with the covenants contained in our various debt agreements.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Senior Unsecured Notes Issuance</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March 2026, we completed an underwritten public offering of (i) $750.0 million aggregate principal amount of our 4.350% Senior Unsecured Notes due 2031 (the “4.350% Notes due 2031”) and (ii) $750.0 million aggregate principal amount of our 6.050% Senior Unsecured Notes due 2056 (the “6.050% Notes due 2056”) (collectively, the “March 2026 Senior Unsecured Notes”), resulting in net proceeds of approximately $1,483.2 million. The March 2026 Senior Unsecured Notes are fully and unconditionally guaranteed, jointly and severally, on a senior unsecured basis by our subsidiaries that guarantee the TRGP Revolver, so long as such subsidiary guarantors satisfy certain conditions. The March 2026 Senior Unsecured Notes were issued pursuant to the Indenture, dated as of April 6, 2022, as supplemented by that certain Thirteenth Supplemental Indenture, dated as of March 2, 2026, among us, each subsidiary guarantor and U.S. Bank Trust Company, National Association, as trustee. In connection with the offering, we recorded debt issuance costs of $15.2 million and discount of $1.6 million as reductions to the carrying value of the March 2026 Senior Unsecured Notes in Long-term debt on our Consolidated Balance Sheets. We used the net proceeds from the debt issuance for general corporate purposes, including to reduce borrowings under the Commercial Paper Program.</w:t>
      </w:r>
    </w:p>
    <w:p>
      <w:pPr>
        <w:pStyle w:val="TextBody"/>
        <w:bidi w:val="0"/>
        <w:jc w:val="both"/>
        <w:rPr>
          <w:rFonts w:ascii="Times New Roman" w:hAnsi="Times New Roman"/>
          <w:b/>
          <w:i/>
          <w:color w:val="000000"/>
          <w:sz w:val="20"/>
        </w:rPr>
      </w:pPr>
      <w:r>
        <w:rPr>
          <w:rFonts w:ascii="Times New Roman" w:hAnsi="Times New Roman"/>
          <w:b/>
          <w:i/>
          <w:color w:val="000000"/>
          <w:sz w:val="20"/>
        </w:rPr>
        <w:t>Debt Repurchases &amp; Extinguishments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completed the redemption of all of the $679.3 million aggregate principal amount of the Partnership’s 6.875% Senior Unsecured Notes due 2029 for a total cash payment of $687.1 million inclusive of redemption premium. We recognized a debt extinguishment loss of $10.1 million, comprised of $7.8 million related to the redemption premium paid and $2.3 million from the write-off of debt issuance costs.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Partnership’s Accounts Receivable Securitization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the Partnership amended the Securitization Facility to, among other things, extend the facility termination date to July 30, 2027. Additionally, the total capacity of the Securitization Facility increased from up to $600 million to up to $800 million of borrowing capacity, which is comprised of a committed line of up to $600 million and an uncommitted line of up to $200 million. Availability under the Securitization Facility is subject to the value of the underlying receivables.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 — Leases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we amended an existing compressor lease agreement. The amendment, among other things, extended the term through March 2036. Upon commencement of the amendment, the finance lease resulted in an addition to the right-of-use asset and corresponding finance lease liability of approximately $464.6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remaining lease term for our finance leases is 8 years and the weighted-average discount rate for our finance leases is 5.1% as of June 30,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maturities of our finance lease liabilities under non-cancellable leases as of June 30, 2026: </w:t>
      </w:r>
    </w:p>
    <w:p>
      <w:pPr>
        <w:pStyle w:val="TextBody"/>
        <w:bidi w:val="0"/>
        <w:jc w:val="left"/>
        <w:rPr/>
      </w:pPr>
      <w:r>
        <w:rPr/>
        <w:t> </w:t>
      </w:r>
    </w:p>
    <w:tbl>
      <w:tblPr>
        <w:tblW w:w="4143" w:type="dxa"/>
        <w:jc w:val="left"/>
        <w:tblInd w:w="0" w:type="dxa"/>
        <w:tblLayout w:type="fixed"/>
        <w:tblCellMar>
          <w:top w:w="28" w:type="dxa"/>
          <w:left w:w="28" w:type="dxa"/>
          <w:bottom w:w="28" w:type="dxa"/>
          <w:right w:w="28" w:type="dxa"/>
        </w:tblCellMar>
      </w:tblPr>
      <w:tblGrid>
        <w:gridCol w:w="2421"/>
        <w:gridCol w:w="146"/>
        <w:gridCol w:w="303"/>
        <w:gridCol w:w="882"/>
        <w:gridCol w:w="39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undiscounted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bookmarkStart w:id="15" w:name="note_13_common_stock_related_matters"/>
      <w:bookmarkEnd w:id="15"/>
      <w:r>
        <w:rPr>
          <w:rFonts w:ascii="Times New Roman" w:hAnsi="Times New Roman"/>
          <w:b/>
          <w:color w:val="000000"/>
          <w:sz w:val="20"/>
        </w:rPr>
        <w:t>Note 9 — Common Stock and Related Matters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Share Repurchase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July 2024, our Board of Directors approved a share repurchase program (the “2024 Share Repurchase Program”) for the repurchase of up to $1.0 billion of our outstanding common stock. In addition, in August 2025, our Board of Directors approved a new share repurchase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program (the “2025 Share Repurchase Program” and, together with the 2024 Share Repurchase Program, the “Share Repurchase Programs”) for the repurchase of up to $1.0 billion of our outstanding common stock. We are not obligated to repurchase any specific dollar amount or number of shares under the Share Repurchase Programs and may discontinue these programs at any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we repurchased 308,102 and 535,903 shares of our common stock at a weighted average per share price of $259.93 and $252.07 for a total net cost of $80.1 million and $135.1 million, respectively. For the three and six months ended June 30, 2025, we repurchased 1,955,099 shares and 2,606,262 shares of our common stock at a weighted average per share price of $165.86 and $172.35 for a total net cost of $324.3 million and $449.2 million, respectively. As of June 30, 2026, there was $1,238.5 million remaining under the Share Repurchase Programs.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Stock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we declared an increase to our common dividend to $1.25 per common share, or $5.00 per common share annualized, effective for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details the dividends declared and/or paid by us to common shareholders for the six months ended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9"/>
        <w:gridCol w:w="146"/>
        <w:gridCol w:w="1146"/>
        <w:gridCol w:w="146"/>
        <w:gridCol w:w="339"/>
        <w:gridCol w:w="890"/>
        <w:gridCol w:w="146"/>
        <w:gridCol w:w="146"/>
        <w:gridCol w:w="354"/>
        <w:gridCol w:w="929"/>
        <w:gridCol w:w="146"/>
        <w:gridCol w:w="146"/>
        <w:gridCol w:w="509"/>
        <w:gridCol w:w="860"/>
        <w:gridCol w:w="146"/>
        <w:gridCol w:w="146"/>
        <w:gridCol w:w="794"/>
        <w:gridCol w:w="1711"/>
        <w:gridCol w:w="196"/>
      </w:tblGrid>
      <w:tr>
        <w:trPr/>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Paid or</w:t>
              <w:br/>
              <w:t>To Be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Common</w:t>
              <w:br/>
              <w:t>Dividends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Common</w:t>
              <w:br/>
              <w:t>Dividends Paid or</w:t>
              <w:br/>
              <w:t>To Be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Dividends on </w:t>
              <w:br/>
              <w:t>Share-Based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 Declared per Share of Common Stock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per share amounts)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6" w:name="note_15_earnings_per_common_share"/>
      <w:bookmarkEnd w:id="16"/>
      <w:r>
        <w:rPr>
          <w:rFonts w:ascii="Times New Roman" w:hAnsi="Times New Roman"/>
          <w:b/>
          <w:color w:val="000000"/>
          <w:sz w:val="20"/>
        </w:rPr>
        <w:t>Note 10 — Earnings per Common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Restricted Stock Unit awards (“RSUs”) that vest no later than three years following the RSUs’ grant date participate in quarterly cash dividend payments. As these RSUs and certain four-year retention awards participate in nonforfeitable dividends with the common equity owners of the Company, they are considered participating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calculate earnings per share using the two-class method. Earnings are allocated to common stock and participating securities based on the amount of dividends paid in the current period plus an allocation of the undistributed earnings to the extent that each security participates in earnings.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a reconciliation of net income and weighted average shares outstanding used in computing basic and diluted net income per common share: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12"/>
        <w:gridCol w:w="146"/>
        <w:gridCol w:w="254"/>
        <w:gridCol w:w="663"/>
        <w:gridCol w:w="188"/>
        <w:gridCol w:w="188"/>
        <w:gridCol w:w="254"/>
        <w:gridCol w:w="663"/>
        <w:gridCol w:w="146"/>
        <w:gridCol w:w="146"/>
        <w:gridCol w:w="217"/>
        <w:gridCol w:w="719"/>
        <w:gridCol w:w="162"/>
        <w:gridCol w:w="162"/>
        <w:gridCol w:w="217"/>
        <w:gridCol w:w="568"/>
        <w:gridCol w:w="200"/>
      </w:tblGrid>
      <w:tr>
        <w:trPr/>
        <w:tc>
          <w:tcPr>
            <w:tcW w:w="5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per share amounts)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Premium on repurchase of noncontrolling interests, net of tax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Participating share-based earnings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allocated to common shareholders for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Dilutive effect of 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w:t>
            </w:r>
          </w:p>
        </w:tc>
        <w:tc>
          <w:tcPr>
            <w:tcW w:w="1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available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available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premium paid on the Badlands Transaction. See “Note 4 – Acquisitions and Joint Ventures.”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Represents the distributed and undistributed earnings of the Company attributable to the participating securities. The dilutive effect of the reallocation of participating securities to diluted net income attributable to common shareholders was immaterial.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potential common stock equivalents are excluded from the determination of diluted earnings per share because the inclusion of such shares would have been anti-dilutive (in millions on a weighted-average basis): </w:t>
      </w:r>
    </w:p>
    <w:p>
      <w:pPr>
        <w:pStyle w:val="TextBody"/>
        <w:bidi w:val="0"/>
        <w:jc w:val="both"/>
        <w:rPr/>
      </w:pPr>
      <w:r>
        <w:rPr/>
        <w:t> </w:t>
      </w:r>
    </w:p>
    <w:tbl>
      <w:tblPr>
        <w:tblW w:w="7330" w:type="dxa"/>
        <w:jc w:val="left"/>
        <w:tblInd w:w="0" w:type="dxa"/>
        <w:tblLayout w:type="fixed"/>
        <w:tblCellMar>
          <w:top w:w="28" w:type="dxa"/>
          <w:left w:w="28" w:type="dxa"/>
          <w:bottom w:w="28" w:type="dxa"/>
          <w:right w:w="28" w:type="dxa"/>
        </w:tblCellMar>
      </w:tblPr>
      <w:tblGrid>
        <w:gridCol w:w="2371"/>
        <w:gridCol w:w="146"/>
        <w:gridCol w:w="265"/>
        <w:gridCol w:w="601"/>
        <w:gridCol w:w="265"/>
        <w:gridCol w:w="265"/>
        <w:gridCol w:w="265"/>
        <w:gridCol w:w="601"/>
        <w:gridCol w:w="146"/>
        <w:gridCol w:w="146"/>
        <w:gridCol w:w="242"/>
        <w:gridCol w:w="550"/>
        <w:gridCol w:w="242"/>
        <w:gridCol w:w="242"/>
        <w:gridCol w:w="242"/>
        <w:gridCol w:w="550"/>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7" w:name="note_16_derivative_instruments_hedging_a"/>
      <w:bookmarkEnd w:id="17"/>
      <w:r>
        <w:rPr>
          <w:rFonts w:ascii="Times New Roman" w:hAnsi="Times New Roman"/>
          <w:b/>
          <w:color w:val="000000"/>
          <w:sz w:val="20"/>
        </w:rPr>
        <w:t>Note 11 — Derivative Instruments and Hedging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purpose of our commodity risk management activities is to manage our exposure to commodity price risk and reduce volatility in our operating cash flow due to fluctuations in commodity prices. We have entered into derivative instruments to hedge the commodity price risks associated with a portion of our expected (i) natural gas, NGL, and condensate equity volumes in our Gathering and Processing operations that result from percent-of-proceeds processing arrangements, (ii) future commodity purchases and sales in our Logistics and Transportation segment and (iii) natural gas transportation basis risk in our Logistics and Transportation segment. The hedge positions associated with (i) and (ii) above will move favorably in periods of falling commodity prices and unfavorably in periods of rising commodity prices and are primarily designated as cash flow hedges for accounting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hedges generally match the NGL product composition and the NGL delivery points of our physical equity volumes. Our natural gas hedges are a mixture of specific gas delivery points and Henry Hub. The NGL hedges may be transacted as specific NGL hedges or as baskets of ethane, propane, normal butane, isobutane and natural gasoline based upon our expected equity NGL composition. We believe this approach avoids uncorrelated risks resulting from employing hedges on crude oil or other petroleum products as “proxy” hedges of NGL prices. Our natural gas and NGL hedges are settled using published index prices for delivery at various locations.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hedge a portion of our condensate equity volumes using crude oil hedges that are based on NYMEX futures contracts for West Texas Intermediate light, sweet crude, which approximates the prices received for condensate. This exposes us to a market differential risk if NYMEX futures do not move in exact parity with the sales price of our underlying condensate equity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also enter into derivative instruments to help manage other short-term commodity-related business risks and take advantage of market opportunities. We have not designated these derivatives as hedges and record changes in fair value and cash settlements to revenues in current earnings.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June 30, 2026, the notional volumes of our commodity derivative contracts were: </w:t>
      </w:r>
    </w:p>
    <w:p>
      <w:pPr>
        <w:pStyle w:val="TextBody"/>
        <w:bidi w:val="0"/>
        <w:jc w:val="both"/>
        <w:rPr/>
      </w:pPr>
      <w:r>
        <w:rPr/>
        <w:t> </w:t>
      </w:r>
    </w:p>
    <w:tbl>
      <w:tblPr>
        <w:tblW w:w="6575" w:type="dxa"/>
        <w:jc w:val="left"/>
        <w:tblInd w:w="0" w:type="dxa"/>
        <w:tblLayout w:type="fixed"/>
        <w:tblCellMar>
          <w:top w:w="28" w:type="dxa"/>
          <w:left w:w="28" w:type="dxa"/>
          <w:bottom w:w="28" w:type="dxa"/>
          <w:right w:w="28" w:type="dxa"/>
        </w:tblCellMar>
      </w:tblPr>
      <w:tblGrid>
        <w:gridCol w:w="976"/>
        <w:gridCol w:w="931"/>
        <w:gridCol w:w="781"/>
        <w:gridCol w:w="146"/>
        <w:gridCol w:w="691"/>
        <w:gridCol w:w="146"/>
        <w:gridCol w:w="146"/>
        <w:gridCol w:w="691"/>
        <w:gridCol w:w="146"/>
        <w:gridCol w:w="146"/>
        <w:gridCol w:w="691"/>
        <w:gridCol w:w="146"/>
        <w:gridCol w:w="146"/>
        <w:gridCol w:w="601"/>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Commodity</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Instrument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Unit</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u w:val="single"/>
              </w:rPr>
            </w:pPr>
            <w:r>
              <w:rPr>
                <w:rFonts w:ascii="Times New Roman" w:hAnsi="Times New Roman"/>
                <w:b/>
                <w:color w:val="000000"/>
                <w:sz w:val="16"/>
                <w:u w:val="single"/>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u w:val="single"/>
              </w:rPr>
            </w:pPr>
            <w:r>
              <w:rPr>
                <w:rFonts w:ascii="Times New Roman" w:hAnsi="Times New Roman"/>
                <w:b/>
                <w:color w:val="000000"/>
                <w:sz w:val="16"/>
                <w:u w:val="single"/>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u w:val="single"/>
              </w:rPr>
            </w:pPr>
            <w:r>
              <w:rPr>
                <w:rFonts w:ascii="Times New Roman" w:hAnsi="Times New Roman"/>
                <w:b/>
                <w:color w:val="000000"/>
                <w:sz w:val="16"/>
                <w:u w:val="single"/>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u w:val="single"/>
              </w:rPr>
            </w:pPr>
            <w:r>
              <w:rPr>
                <w:rFonts w:ascii="Times New Roman" w:hAnsi="Times New Roman"/>
                <w:b/>
                <w:color w:val="000000"/>
                <w:sz w:val="16"/>
                <w:u w:val="single"/>
              </w:rPr>
              <w:t>2029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Swaps</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MMBtu/d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Natural Gas</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Basis Swaps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MMBtu/d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NGL</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Swaps</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Bbl/d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NGL</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Futures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Bbl/d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Condensate</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Swaps</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Bbl/d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derivative contracts are subject to netting arrangements that permit our contracting subsidiaries to net cash settle offsetting asset and liability positions with the same counterparty within the same Targa entity. The master netting provisions reduced our maximum loss due to counterparty credit risk by $24.8 million as of June 30, 2026. The range of losses attributable to our individual counterparties would be between $0.1 million and $9.9 million, depending on the counterparty in default. We record derivative assets and liabilities on our Consolidated Balance Sheets on a gross basis, without considering the effect of master netting arrangements.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reflects the fair value of our derivative instruments and their location on our Consolidated Balance Sheets as of the periods presented: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54"/>
        <w:gridCol w:w="146"/>
        <w:gridCol w:w="1043"/>
        <w:gridCol w:w="146"/>
        <w:gridCol w:w="259"/>
        <w:gridCol w:w="659"/>
        <w:gridCol w:w="180"/>
        <w:gridCol w:w="180"/>
        <w:gridCol w:w="259"/>
        <w:gridCol w:w="718"/>
        <w:gridCol w:w="166"/>
        <w:gridCol w:w="146"/>
        <w:gridCol w:w="301"/>
        <w:gridCol w:w="728"/>
        <w:gridCol w:w="203"/>
        <w:gridCol w:w="203"/>
        <w:gridCol w:w="300"/>
        <w:gridCol w:w="797"/>
        <w:gridCol w:w="417"/>
      </w:tblGrid>
      <w:tr>
        <w:trPr/>
        <w:tc>
          <w:tcPr>
            <w:tcW w:w="3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long-term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reflect the pro forma impact of reporting derivatives on our Consolidated Balance Sheets on a net basis as of the periods presented: </w:t>
      </w:r>
    </w:p>
    <w:p>
      <w:pPr>
        <w:pStyle w:val="TextBody"/>
        <w:bidi w:val="0"/>
        <w:jc w:val="left"/>
        <w:rPr/>
      </w:pPr>
      <w:r>
        <w:rPr/>
        <w:t> </w:t>
      </w:r>
    </w:p>
    <w:tbl>
      <w:tblPr>
        <w:tblW w:w="9734" w:type="dxa"/>
        <w:jc w:val="left"/>
        <w:tblInd w:w="0" w:type="dxa"/>
        <w:tblLayout w:type="fixed"/>
        <w:tblCellMar>
          <w:top w:w="28" w:type="dxa"/>
          <w:left w:w="28" w:type="dxa"/>
          <w:bottom w:w="28" w:type="dxa"/>
          <w:right w:w="28" w:type="dxa"/>
        </w:tblCellMar>
      </w:tblPr>
      <w:tblGrid>
        <w:gridCol w:w="161"/>
        <w:gridCol w:w="3811"/>
        <w:gridCol w:w="146"/>
        <w:gridCol w:w="196"/>
        <w:gridCol w:w="511"/>
        <w:gridCol w:w="146"/>
        <w:gridCol w:w="146"/>
        <w:gridCol w:w="196"/>
        <w:gridCol w:w="571"/>
        <w:gridCol w:w="166"/>
        <w:gridCol w:w="146"/>
        <w:gridCol w:w="267"/>
        <w:gridCol w:w="574"/>
        <w:gridCol w:w="166"/>
        <w:gridCol w:w="146"/>
        <w:gridCol w:w="254"/>
        <w:gridCol w:w="546"/>
        <w:gridCol w:w="189"/>
        <w:gridCol w:w="189"/>
        <w:gridCol w:w="254"/>
        <w:gridCol w:w="742"/>
        <w:gridCol w:w="211"/>
      </w:tblGrid>
      <w:tr>
        <w:trPr/>
        <w:tc>
          <w:tcPr>
            <w:tcW w:w="161"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Presentation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Net Presentation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Counterparties without offsetting positions -</w:t>
            </w:r>
            <w:r>
              <w:rPr>
                <w:rFonts w:ascii="Times New Roman" w:hAnsi="Times New Roman"/>
                <w:color w:val="000000"/>
                <w:sz w:val="20"/>
              </w:rPr>
              <w:t xml:space="preserve"> </w:t>
            </w:r>
            <w:r>
              <w:rPr>
                <w:rFonts w:ascii="Times New Roman" w:hAnsi="Times New Roman"/>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7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Presentation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Net Presentation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Counterparties without offsetting positions -</w:t>
            </w:r>
            <w:r>
              <w:rPr>
                <w:rFonts w:ascii="Times New Roman" w:hAnsi="Times New Roman"/>
                <w:color w:val="000000"/>
                <w:sz w:val="20"/>
              </w:rPr>
              <w:t xml:space="preserve"> </w:t>
            </w: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7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Counterparties without offsetting positions -</w:t>
            </w:r>
            <w:r>
              <w:rPr>
                <w:rFonts w:ascii="Times New Roman" w:hAnsi="Times New Roman"/>
                <w:color w:val="000000"/>
                <w:sz w:val="20"/>
              </w:rPr>
              <w:t xml:space="preserve"> </w:t>
            </w: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 offsetting positions or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Counterparties without offsetting positions -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our hedges are futures contracts executed through brokers that clear the hedges through an exchange. We maintain a margin deposit with the brokers in an amount sufficient to cover the fair value of our open futures positions. The margin deposit is considered collateral, which is included within Other current assets on our Consolidated Balance Sheets and is not offset against the fair value of our derivative instruments. Our derivative instruments other than our futures contracts are executed under International Swaps and Derivatives Association agreements (“ISDAs”), which govern the key terms with our counterparties. Our ISDAs contain credit-risk related contingent features and are not secured. As of June 30, 2026, we have outstanding net derivative positions that contain credit-risk related contingent features that are in a net liability position of $107.9 million. We have not been required to post any collateral related to these positions due to our credit rating. If our credit rating was to be downgraded one notch below investment grade by both Moody’s and S&amp;P, as defined in our ISDAs, we estimate that as of June 30, 2026, we would not be required to post collateral to any counterparty and that no counterparty could request immediate, full settlement per the terms of our ISDAs.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our derivative instruments, depending on the type of instrument, was determined by the use of present value methods with assumptions about commodity prices based on those observed in underlying markets. The estimated fair value of our derivative instruments was a net liability of $125.6 million as of June 30, 2026. The estimated fair value is net of an adjustment for credit risk based on the default probabilities as indicated by market quotes for our counterparties’ credit default swap rates. The credit risk adjustment was immaterial for all periods presented. Our futures contracts that are cleared through an exchange are margined daily and do not require any credit adjustment.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reflect amounts recorded in OCI and amounts reclassified from OCI to revenue for the periods presented: </w:t>
      </w:r>
    </w:p>
    <w:p>
      <w:pPr>
        <w:pStyle w:val="TextBody"/>
        <w:bidi w:val="0"/>
        <w:jc w:val="both"/>
        <w:rPr/>
      </w:pPr>
      <w:r>
        <w:rPr/>
        <w:t> </w:t>
      </w:r>
    </w:p>
    <w:tbl>
      <w:tblPr>
        <w:tblW w:w="6895" w:type="dxa"/>
        <w:jc w:val="left"/>
        <w:tblInd w:w="0" w:type="dxa"/>
        <w:tblLayout w:type="fixed"/>
        <w:tblCellMar>
          <w:top w:w="28" w:type="dxa"/>
          <w:left w:w="28" w:type="dxa"/>
          <w:bottom w:w="28" w:type="dxa"/>
          <w:right w:w="28" w:type="dxa"/>
        </w:tblCellMar>
      </w:tblPr>
      <w:tblGrid>
        <w:gridCol w:w="1936"/>
        <w:gridCol w:w="146"/>
        <w:gridCol w:w="274"/>
        <w:gridCol w:w="716"/>
        <w:gridCol w:w="204"/>
        <w:gridCol w:w="204"/>
        <w:gridCol w:w="274"/>
        <w:gridCol w:w="590"/>
        <w:gridCol w:w="146"/>
        <w:gridCol w:w="146"/>
        <w:gridCol w:w="252"/>
        <w:gridCol w:w="620"/>
        <w:gridCol w:w="214"/>
        <w:gridCol w:w="188"/>
        <w:gridCol w:w="252"/>
        <w:gridCol w:w="542"/>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(Loss) Recognized in OCI on </w:t>
              <w:br/>
              <w:t>Derivatives (Effective Portion)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in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6809" w:type="dxa"/>
        <w:jc w:val="left"/>
        <w:tblInd w:w="0" w:type="dxa"/>
        <w:tblLayout w:type="fixed"/>
        <w:tblCellMar>
          <w:top w:w="28" w:type="dxa"/>
          <w:left w:w="28" w:type="dxa"/>
          <w:bottom w:w="28" w:type="dxa"/>
          <w:right w:w="28" w:type="dxa"/>
        </w:tblCellMar>
      </w:tblPr>
      <w:tblGrid>
        <w:gridCol w:w="1846"/>
        <w:gridCol w:w="146"/>
        <w:gridCol w:w="291"/>
        <w:gridCol w:w="625"/>
        <w:gridCol w:w="216"/>
        <w:gridCol w:w="216"/>
        <w:gridCol w:w="291"/>
        <w:gridCol w:w="625"/>
        <w:gridCol w:w="146"/>
        <w:gridCol w:w="146"/>
        <w:gridCol w:w="266"/>
        <w:gridCol w:w="571"/>
        <w:gridCol w:w="198"/>
        <w:gridCol w:w="198"/>
        <w:gridCol w:w="266"/>
        <w:gridCol w:w="57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(Loss) Reclassified from OCI into </w:t>
              <w:br/>
              <w:t>Income (Effective Portion)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Location of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expect to reclassify commodity hedge related net deferred gains of $43.3 million included in Accumulated OCI into earnings before income taxes over the next twelve months. However, actual amounts reclassified into earnings could be greater or less than the net amount reported in Accumulated OCI. As of June 30, 2026, the maximum length of time over which we have hedged our exposure to the variability in future cash flows is through 2029.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consolidated earnings are also affected by the use of the mark-to-market method of accounting for derivative instruments that do not qualify for hedge accounting or that have not been designated as hedges. The changes in fair value of these instruments are recorded on our Consolidated Balance Sheets and through earnings in our Consolidated Statements of Operations rather than being deferred until the anticipated transaction settles. The use of mark-to-market accounting for financial assets and liabilities (“financial instruments”) can cause non-cash earnings volatility due to changes in the underlying commodity price indices. For the three and six months ended June 30, 2026, we had unrealized mark-to-market losses primarily driven by unfavorable movement in natural gas forward basis prices.</w:t>
      </w:r>
    </w:p>
    <w:p>
      <w:pPr>
        <w:pStyle w:val="TextBody"/>
        <w:bidi w:val="0"/>
        <w:jc w:val="both"/>
        <w:rPr/>
      </w:pPr>
      <w:r>
        <w:rPr/>
        <w:t> </w:t>
      </w:r>
    </w:p>
    <w:tbl>
      <w:tblPr>
        <w:tblW w:w="9133" w:type="dxa"/>
        <w:jc w:val="left"/>
        <w:tblInd w:w="0" w:type="dxa"/>
        <w:tblLayout w:type="fixed"/>
        <w:tblCellMar>
          <w:top w:w="28" w:type="dxa"/>
          <w:left w:w="28" w:type="dxa"/>
          <w:bottom w:w="28" w:type="dxa"/>
          <w:right w:w="28" w:type="dxa"/>
        </w:tblCellMar>
      </w:tblPr>
      <w:tblGrid>
        <w:gridCol w:w="2101"/>
        <w:gridCol w:w="146"/>
        <w:gridCol w:w="1906"/>
        <w:gridCol w:w="146"/>
        <w:gridCol w:w="261"/>
        <w:gridCol w:w="642"/>
        <w:gridCol w:w="221"/>
        <w:gridCol w:w="195"/>
        <w:gridCol w:w="261"/>
        <w:gridCol w:w="682"/>
        <w:gridCol w:w="146"/>
        <w:gridCol w:w="146"/>
        <w:gridCol w:w="231"/>
        <w:gridCol w:w="673"/>
        <w:gridCol w:w="195"/>
        <w:gridCol w:w="172"/>
        <w:gridCol w:w="231"/>
        <w:gridCol w:w="567"/>
        <w:gridCol w:w="2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 Recognized in Income on Derivatives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 in Income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12 – Fair Value Measurements” and “Note 17 – Segment Information” for additional disclosures related to derivative instruments and hedging activities.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8" w:name="note_17_fair_value_measurements"/>
      <w:bookmarkEnd w:id="18"/>
      <w:r>
        <w:rPr>
          <w:rFonts w:ascii="Times New Roman" w:hAnsi="Times New Roman"/>
          <w:b/>
          <w:color w:val="000000"/>
          <w:sz w:val="20"/>
        </w:rPr>
        <w:t>Note 12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GAAP, our Consolidated Balance Sheets reflect a mixture of measurement methods for financial instruments. Derivative financial instruments are reported at fair value on our Consolidated Balance Sheets. Other financial instruments are reported at historical cost or amortized cost on our Consolidated Balance Sheets. The following are additional qualitative and quantitative disclosures regarding fair value measurements of our financial instruments.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of Derivative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derivative instruments consist of financially settled commodity swaps, futures and fixed-price forward commodity contracts with certain counterparties. We determine the fair value of our derivative instruments using present value methods with assumptions about commodity prices based on those observed in underlying markets. We have consistently applied these valuation techniques in all periods presented and we believe we have obtained the most accurate information available for the types of derivative instruments we hold.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values of our derivative instruments are sensitive to changes in forward pricing on natural gas, NGLs and crude oil. The derivatives at June 30, 2026 represent a net liability position of $125.6 million which reflects the present value, adjusted for counterparty credit risk, of the amount we expect to receive or pay in the future on our derivative instruments. If forward pricing on natural gas, NGLs and crude oil were to increase by 10%, the result would be a fair value reflecting a net liability of $306.2 million. If forward pricing on natural gas, NGLs and crude oil were to decrease by 10%, the result would be a fair value reflecting a net asset of $55.0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of Other Financial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their cash or near-cash nature, the carrying value of other financial instruments included in working capital (i.e., cash and cash equivalents, accounts receivable, accounts payable) approximates their fair value. Debt is primarily the other financial instrument for which carrying value could vary significantly from fair value. We determined the supplemental fair value disclosures for our current and long-term debt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TRGP Revolver, Commercial Paper Program and Securitization Facility are based on carrying value, which approximates fair value as their interest rates are based on prevailing market rates;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TRGP senior unsecured notes and the Partnership’s senior unsecured notes are based on quoted market prices derived from trades of the debt.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Contingent consideration liabilities related to business acquisitions are carried at fair value.</w:t>
      </w:r>
      <w:r>
        <w:rPr>
          <w:rFonts w:ascii="Times New Roman" w:hAnsi="Times New Roman"/>
          <w:b/>
          <w:i/>
          <w:color w:val="000000"/>
          <w:sz w:val="20"/>
        </w:rPr>
        <w:br/>
      </w:r>
      <w:r>
        <w:rPr>
          <w:rFonts w:ascii="Times New Roman" w:hAnsi="Times New Roman"/>
          <w:color w:val="000000"/>
          <w:sz w:val="20"/>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Hierarchy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categorize the inputs to the fair value measurements of financial assets and liabilities at each balance sheet reporting date using a three-tier fair value hierarchy that prioritizes the significant inputs used in measuring fair value: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observable inputs such as quoted prices in active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2 – inputs other than quoted prices in active markets that we can directly or indirectly observe to the extent that the markets are liquid for the relevant settlement periods;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in which little or no market data exists, therefore we must develop our own assumptions.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a breakdown by fair value hierarchy category for (i) financial instruments measurements included on our Consolidated Balance Sheets at fair value and (ii) supplemental fair value disclosures for other financial instruments:</w:t>
      </w:r>
    </w:p>
    <w:p>
      <w:pPr>
        <w:pStyle w:val="TextBody"/>
        <w:bidi w:val="0"/>
        <w:jc w:val="both"/>
        <w:rPr/>
      </w:pPr>
      <w:r>
        <w:rPr/>
        <w:t> </w:t>
      </w:r>
    </w:p>
    <w:tbl>
      <w:tblPr>
        <w:tblW w:w="9237" w:type="dxa"/>
        <w:jc w:val="left"/>
        <w:tblInd w:w="0" w:type="dxa"/>
        <w:tblLayout w:type="fixed"/>
        <w:tblCellMar>
          <w:top w:w="28" w:type="dxa"/>
          <w:left w:w="28" w:type="dxa"/>
          <w:bottom w:w="28" w:type="dxa"/>
          <w:right w:w="28" w:type="dxa"/>
        </w:tblCellMar>
      </w:tblPr>
      <w:tblGrid>
        <w:gridCol w:w="3676"/>
        <w:gridCol w:w="146"/>
        <w:gridCol w:w="196"/>
        <w:gridCol w:w="736"/>
        <w:gridCol w:w="146"/>
        <w:gridCol w:w="146"/>
        <w:gridCol w:w="196"/>
        <w:gridCol w:w="736"/>
        <w:gridCol w:w="146"/>
        <w:gridCol w:w="146"/>
        <w:gridCol w:w="228"/>
        <w:gridCol w:w="402"/>
        <w:gridCol w:w="146"/>
        <w:gridCol w:w="146"/>
        <w:gridCol w:w="196"/>
        <w:gridCol w:w="736"/>
        <w:gridCol w:w="146"/>
        <w:gridCol w:w="146"/>
        <w:gridCol w:w="228"/>
        <w:gridCol w:w="402"/>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Financial Instruments Recorded on Our </w:t>
              <w:br/>
              <w:t>Consolidated Balance Sheets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Assets</w:t>
            </w:r>
            <w:r>
              <w:rPr>
                <w:rFonts w:ascii="Times New Roman" w:hAnsi="Times New Roman"/>
                <w:color w:val="000000"/>
                <w:sz w:val="20"/>
              </w:rPr>
              <w:t> </w:t>
            </w:r>
            <w:r>
              <w:rPr>
                <w:rFonts w:ascii="Times New Roman" w:hAnsi="Times New Roman"/>
                <w:color w:val="000000"/>
                <w:sz w:val="16"/>
              </w:rPr>
              <w:t>from commodity derivative contracts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Liabilities</w:t>
            </w:r>
            <w:r>
              <w:rPr>
                <w:rFonts w:ascii="Times New Roman" w:hAnsi="Times New Roman"/>
                <w:color w:val="000000"/>
                <w:sz w:val="20"/>
              </w:rPr>
              <w:t> </w:t>
            </w:r>
            <w:r>
              <w:rPr>
                <w:rFonts w:ascii="Times New Roman" w:hAnsi="Times New Roman"/>
                <w:color w:val="000000"/>
                <w:sz w:val="16"/>
              </w:rPr>
              <w:t>from commodity derivative contracts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Financial Instruments Recorded on Our </w:t>
              <w:br/>
              <w:t>Consolidated Balance Sheets at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TRGP Revolver and Commercial Paper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TRGP Senior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Partnership’s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Securitization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37" w:type="dxa"/>
        <w:jc w:val="left"/>
        <w:tblInd w:w="0" w:type="dxa"/>
        <w:tblLayout w:type="fixed"/>
        <w:tblCellMar>
          <w:top w:w="28" w:type="dxa"/>
          <w:left w:w="28" w:type="dxa"/>
          <w:bottom w:w="28" w:type="dxa"/>
          <w:right w:w="28" w:type="dxa"/>
        </w:tblCellMar>
      </w:tblPr>
      <w:tblGrid>
        <w:gridCol w:w="3676"/>
        <w:gridCol w:w="146"/>
        <w:gridCol w:w="196"/>
        <w:gridCol w:w="736"/>
        <w:gridCol w:w="146"/>
        <w:gridCol w:w="146"/>
        <w:gridCol w:w="196"/>
        <w:gridCol w:w="736"/>
        <w:gridCol w:w="146"/>
        <w:gridCol w:w="146"/>
        <w:gridCol w:w="228"/>
        <w:gridCol w:w="402"/>
        <w:gridCol w:w="146"/>
        <w:gridCol w:w="146"/>
        <w:gridCol w:w="196"/>
        <w:gridCol w:w="736"/>
        <w:gridCol w:w="146"/>
        <w:gridCol w:w="146"/>
        <w:gridCol w:w="228"/>
        <w:gridCol w:w="402"/>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Financial Instruments Recorded on Our </w:t>
              <w:br/>
              <w:t>Consolidated Balance Sheets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Assets</w:t>
            </w:r>
            <w:r>
              <w:rPr>
                <w:rFonts w:ascii="Times New Roman" w:hAnsi="Times New Roman"/>
                <w:color w:val="000000"/>
                <w:sz w:val="20"/>
              </w:rPr>
              <w:t> </w:t>
            </w:r>
            <w:r>
              <w:rPr>
                <w:rFonts w:ascii="Times New Roman" w:hAnsi="Times New Roman"/>
                <w:color w:val="000000"/>
                <w:sz w:val="16"/>
              </w:rPr>
              <w:t>from commodity derivative contracts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Liabilities</w:t>
            </w:r>
            <w:r>
              <w:rPr>
                <w:rFonts w:ascii="Times New Roman" w:hAnsi="Times New Roman"/>
                <w:color w:val="000000"/>
                <w:sz w:val="20"/>
              </w:rPr>
              <w:t> </w:t>
            </w:r>
            <w:r>
              <w:rPr>
                <w:rFonts w:ascii="Times New Roman" w:hAnsi="Times New Roman"/>
                <w:color w:val="000000"/>
                <w:sz w:val="16"/>
              </w:rPr>
              <w:t>from commodity derivative contracts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Financial Instruments Recorded on Our </w:t>
              <w:br/>
              <w:t>Consolidated Balance Sheets at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TRGP Revolver and Commercial Paper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TRGP Senior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Partnership’s 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The fair value of derivative contracts in this table is presented on a different basis than the Consolidated Balance Sheets presentation as disclosed in “Note 11 – Derivative Instruments and Hedging Activities.” The above fair values reflect the total value of each derivative contract taken as a whole, whereas the Consolidated Balance Sheets presentation is based on the individual maturity dates of estimated future settlements. As such, an individual contract could have both an asset and liability position when segregated into its current and long-term portions for Consolidated Balance Sheets classification purposes.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Additional Information Regarding Level 3 Fair Value Measurements Included on Our Consolidated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report certain of our swaps at fair value using Level 3 inputs due to such derivative instruments not having observable market prices for substantially the full term of the derivative asset or liability. For valuations that include both observable and unobservable inputs, if the unobservable input is determined to be significant to the overall inputs, the entire valuation is categorized in Level 3. This includes derivative instruments valued using indicative price quotations whose contract length extends into unobservable periods. The fair value of these swaps was determined using a discounted cash flow valuation technique based on a commodity forward curve, which is based on observable or public data sources and extrapolated when observable prices are not available. The significant unobservable inputs used in the fair value measurements of our Level 3 derivatives were the forward natural gas pricing inputs, for which a significant portion of the derivative instruments’ term is beyond available forward pricing.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contingent consideration was determined using a Monte Carlo simulation model. Significant inputs used in the fair value measurement include forecasted volumes, term of the earn-out period, risk-adjusted discount rate, and volatility associated with the underlying assets. The inputs are not observable; therefore, the entire valuation of the contingent consideration is categorized in Level 3. The fair value of the contingent consideration is recorded within Other long-term liabilities on our Consolidated Balance Sheets. Subsequent changes in the fair value of this liability are included in Other income (expense) in our Consolidated Statements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and Liabilities Measured at Fair Value on a Nonrecurring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Nonfinancial assets and liabilities, such as long-lived assets, are measured at fair value on a nonrecurring basis at acquisition or whenever impairment indicators are present. For disclosures related to valuation techniques used in the Stakeholder Acquisition, see “Note 4 – Acquisitions and Joint Ventures.”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techniques used to fair value assets and liabilities on a nonrecurring basis may produce a fair value calculation that may not be indicative or reflective of future fair values. Furthermore, while we believe our valuation techniques are appropriate and consistent with other market participants, the use of different techniques or assumptions to determine fair value of certain financial and nonfinancial assets and liabilities could result in a different fair value measurement at the reporting date.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note_20_contingencies_open_for_legal_upd"/>
      <w:bookmarkEnd w:id="19"/>
      <w:r>
        <w:rPr>
          <w:rFonts w:ascii="Times New Roman" w:hAnsi="Times New Roman"/>
          <w:b/>
          <w:color w:val="000000"/>
          <w:sz w:val="20"/>
        </w:rPr>
        <w:t>Note 13 — Contingencies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and the Partnership are parties to various legal, administrative and regulatory proceedings that have arisen in the ordinary course of our business. We and the Partnership are also parties to various proceedings with governmental environmental agencies, including, but not limited to the U.S. Environmental Protection Agency (the “EPA”), Texas Commission on Environmental Quality (the “TCEQ”), Oklahoma Department of Environmental Quality, New Mexico Environment Department (the “NMED”), Louisiana Department of Environmental Quality and North Dakota Department of Environmental Quality, which assert monetary sanctions for alleged violations of environmental regulations, including air emissions, discharges into the environment and reporting deficiencies, related to events that have arisen at certain of our facilities in the ordinary course of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24, 2023, we received a Notice of Violation (the “New Mexico NOV”) from the NMED, Air Quality Bureau, relating to alleged air permit violations at the Red Hills gas processing facility. The alleged air permit violations occurred primarily between August 1, 2021 and June 30, 2022, while the facility was owned by Lucid Energy Delaware, LLC (“Lucid”), a subsidiary we acquired in July 2022 and renamed Targa Northern Delaware LLC. On December 5, 2024, we received a proposed Administrative Compliance Order (the “ACO”) from the NMED relating to the violations identified in the New Mexico NOV and certain other alleged violations. The ACO includes a proposed civil penalty of approximately $47.8 million and requires certain capital improvements to address the operations and excess air emissions at the Red Hills processing facility. These capital improvements, totaling approximately $140 million, were substantially completed by December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we filed a Request for Hearing with the NMED with respect to the ACO. We have cooperated with the NMED in identifying and correcting legacy environmental issues since our acquisition of Lucid, and we expect to continue to engage with the NMED to resolve this matter and certain additional matters identified during our negotiations with the NMED. Although this matter is ongoing and we cannot predict its ultimate outcome, we believe we have valid defenses to many of the NMED allegations and intend to vigorously defend this matter.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26, 2023, we received a final judgment in a lawsuit alleging a breach of contract related to the major winter storm in February 2021. The damages awarded against us are approximately $6.9 million, not including pre-judgment interest. Both parties appealed the judgment. On December 9, 2025, the Fifth Circuit Court of Appeals (i) reversed the trial court’s summary judgment in favor of Targa and remanded the case to trial court for further proceedings and (ii) upheld the $6.9 million jury verdict in favor of MIECO. On July 24, 2026, Targa’s motion for reconsideration was granted and the Fifth Circuit Court of Appeals certified two questions to the Texas Supreme Court.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2026, we received a Revised Proposed Agreed Order (“RPAO”) from the TCEQ to resolve alleged violations of state air emissions regulations at our Mont Belvieu, Texas NGL fractionation and storage complex. The alleged violations relate primarily to the period from August 25, 2020, through December 31, 2022. Under the terms of the RPAO, we would pay an administrative penalty of $0.5 million and agree to perform a Supplemental Environmental Project for an equal amount.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14 —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Fixed consideration allocated to remaining performance obligations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estimated minimum revenue related to unsatisfied performance obligations at the end of the reporting period, and is comprised of fixed consideration primarily attributable to contracts with minimum volume commitments, for which a guaranteed amount of revenue can be calculated. These contracts are comprised primarily of gathering and processing, fractionation, export, terminaling and storage agreements, with remaining contract terms ranging from 1 to 16 years.</w:t>
      </w:r>
    </w:p>
    <w:p>
      <w:pPr>
        <w:pStyle w:val="TextBody"/>
        <w:bidi w:val="0"/>
        <w:jc w:val="both"/>
        <w:rPr/>
      </w:pPr>
      <w:r>
        <w:rPr/>
        <w:t> </w:t>
      </w:r>
    </w:p>
    <w:tbl>
      <w:tblPr>
        <w:tblW w:w="7762" w:type="dxa"/>
        <w:jc w:val="left"/>
        <w:tblInd w:w="0" w:type="dxa"/>
        <w:tblLayout w:type="fixed"/>
        <w:tblCellMar>
          <w:top w:w="28" w:type="dxa"/>
          <w:left w:w="28" w:type="dxa"/>
          <w:bottom w:w="28" w:type="dxa"/>
          <w:right w:w="28" w:type="dxa"/>
        </w:tblCellMar>
      </w:tblPr>
      <w:tblGrid>
        <w:gridCol w:w="4096"/>
        <w:gridCol w:w="146"/>
        <w:gridCol w:w="146"/>
        <w:gridCol w:w="196"/>
        <w:gridCol w:w="511"/>
        <w:gridCol w:w="146"/>
        <w:gridCol w:w="146"/>
        <w:gridCol w:w="196"/>
        <w:gridCol w:w="511"/>
        <w:gridCol w:w="146"/>
        <w:gridCol w:w="146"/>
        <w:gridCol w:w="276"/>
        <w:gridCol w:w="909"/>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2028</w:t>
            </w:r>
            <w:r>
              <w:rPr>
                <w:rFonts w:ascii="Times New Roman" w:hAnsi="Times New Roman"/>
                <w:color w:val="000000"/>
                <w:sz w:val="20"/>
              </w:rPr>
              <w:t> </w:t>
            </w:r>
            <w:r>
              <w:rPr>
                <w:rFonts w:ascii="Times New Roman" w:hAnsi="Times New Roman"/>
                <w:b/>
                <w:color w:val="000000"/>
                <w:sz w:val="16"/>
              </w:rPr>
              <w:t>and 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consideration to be recognized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the optional exemptions that we elected to apply, the amounts presented in the table above exclude remaining performance obligations for (i) variable consideration for which the allocation exception is met and (ii) contracts with an original expected duration of one year or 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revenue as of June 30, 2026 and December 31, 2025 was $138.7 million and $135.7 million, respectively. As of June 30, 2026, $23.1 million of deferred revenue is included in Accrued liabilities and $115.6 million is included in Other long-term liabilities on our Consolidated Balance Sheets. Deferred revenue includes contributions in aid of construction received from customers related to owned property, plant, and equipment for which revenue is recognized over the expected contract term. Deferred revenue also includes consideration received in 2015 and 2017 amendments to a gas gathering and processing agreement. The deferred revenue related to these amendments is being recognized through the end of the agreement’s term in 2035.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we recognized revenue of $5.7 million and $11.0 million, respectively, from prior period deferral. For the three and six months ended June 30, 2025, we recognized revenue of $5.2 million and $10.3 million,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disclosures related to disaggregated revenue, see “Note 17 – Segment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15 —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record income taxes using an estimated annual effective tax rate and recognize specific events discretely as they occur. Our effective tax rate for the three and six months ended June 30, 2026 is higher than the U.S. corporate statutory rate of 21% primarily due to state income taxes, partially offset by excess tax-deductible stock compensation. Our effective tax rate for the three and six months ended June 30, 2025 was higher than the U.S. corporate statutory rate of 21% primarily due to state income taxes, partially offset by excess tax-deductible stock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regularly evaluate the realizable tax benefits of deferred tax assets and record a valuation allowance, if required, based on an estimate of the amount of deferred tax assets that we believe does not meet the more-likely-than-not criteria of being realized. As of June 30, 2026 and December 31, 2025, our valuation allowance was $5.9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tax in the U.S. and various state jurisdictions, and we are subject to periodic audits and reviews by taxing authorities. As of June 30, 2026, examinations by the Internal Revenue Service (the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w:t>
      </w:r>
    </w:p>
    <w:p>
      <w:pPr>
        <w:pStyle w:val="TextBody"/>
        <w:bidi w:val="0"/>
        <w:jc w:val="both"/>
        <w:rPr/>
      </w:pPr>
      <w:r>
        <w:rPr/>
        <w:t> </w:t>
      </w:r>
    </w:p>
    <w:p>
      <w:pPr>
        <w:pStyle w:val="TextBody"/>
        <w:bidi w:val="0"/>
        <w:jc w:val="both"/>
        <w:rPr>
          <w:rFonts w:ascii="Times New Roman" w:hAnsi="Times New Roman"/>
          <w:sz w:val="20"/>
        </w:rPr>
      </w:pPr>
      <w:bookmarkStart w:id="20" w:name="note_24_supplemental_cash_flow_informati"/>
      <w:bookmarkEnd w:id="20"/>
      <w:r>
        <w:rPr>
          <w:rFonts w:ascii="Times New Roman" w:hAnsi="Times New Roman"/>
          <w:b/>
          <w:color w:val="000000"/>
          <w:sz w:val="20"/>
        </w:rPr>
        <w:t>Note 16 — Supplemental</w:t>
      </w:r>
      <w:r>
        <w:rPr>
          <w:rFonts w:ascii="Times New Roman" w:hAnsi="Times New Roman"/>
          <w:color w:val="000000"/>
          <w:sz w:val="20"/>
        </w:rPr>
        <w:t xml:space="preserve"> </w:t>
      </w:r>
      <w:r>
        <w:rPr>
          <w:rFonts w:ascii="Times New Roman" w:hAnsi="Times New Roman"/>
          <w:b/>
          <w:color w:val="000000"/>
          <w:sz w:val="20"/>
        </w:rPr>
        <w:t>Cash Flow Information</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16"/>
        <w:gridCol w:w="196"/>
        <w:gridCol w:w="146"/>
        <w:gridCol w:w="511"/>
        <w:gridCol w:w="166"/>
        <w:gridCol w:w="146"/>
        <w:gridCol w:w="196"/>
        <w:gridCol w:w="146"/>
        <w:gridCol w:w="571"/>
        <w:gridCol w:w="411"/>
      </w:tblGrid>
      <w:tr>
        <w:trPr/>
        <w:tc>
          <w:tcPr>
            <w:tcW w:w="77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paid, net of capitalized interest (1)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paid, net of refunds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deadstock commodity inventory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Impact of net accruals on capital expenditures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ARO liability and property, plant and equipment, net due to additions and revised cash flow estimates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accrued distributions to noncontrolling interests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lease liabilities from recognition (derecognition) of right-of-use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Finance lease (2)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Interest capitalized on major projects was $61.0</w:t>
      </w:r>
      <w:r>
        <w:rPr>
          <w:rFonts w:ascii="Times New Roman" w:hAnsi="Times New Roman"/>
          <w:color w:val="000000"/>
          <w:sz w:val="20"/>
        </w:rPr>
        <w:t xml:space="preserve"> </w:t>
      </w:r>
      <w:r>
        <w:rPr>
          <w:rFonts w:ascii="Times New Roman" w:hAnsi="Times New Roman"/>
          <w:color w:val="000000"/>
          <w:sz w:val="16"/>
        </w:rPr>
        <w:t>million and $32.4</w:t>
      </w:r>
      <w:r>
        <w:rPr>
          <w:rFonts w:ascii="Times New Roman" w:hAnsi="Times New Roman"/>
          <w:color w:val="000000"/>
          <w:sz w:val="20"/>
        </w:rPr>
        <w:t xml:space="preserve"> </w:t>
      </w:r>
      <w:r>
        <w:rPr>
          <w:rFonts w:ascii="Times New Roman" w:hAnsi="Times New Roman"/>
          <w:color w:val="000000"/>
          <w:sz w:val="16"/>
        </w:rPr>
        <w:t>million for the six months ended June 30, 2026 and 2025.</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sz w:val="20"/>
        </w:rPr>
      </w:pPr>
      <w:r>
        <w:rPr>
          <w:rFonts w:ascii="Times New Roman" w:hAnsi="Times New Roman"/>
          <w:color w:val="000000"/>
          <w:sz w:val="16"/>
        </w:rPr>
        <w:t>The amount for the six months ended June 30, 2026 includes activity related to the amendment of a compressor lease agreement. See “Note 8</w:t>
      </w:r>
      <w:r>
        <w:rPr>
          <w:rFonts w:ascii="Times New Roman" w:hAnsi="Times New Roman"/>
          <w:color w:val="000000"/>
          <w:sz w:val="20"/>
        </w:rPr>
        <w:t xml:space="preserve"> – </w:t>
      </w:r>
      <w:r>
        <w:rPr>
          <w:rFonts w:ascii="Times New Roman" w:hAnsi="Times New Roman"/>
          <w:color w:val="000000"/>
          <w:sz w:val="16"/>
        </w:rPr>
        <w:t>Leases” for further details.</w:t>
      </w:r>
    </w:p>
    <w:p>
      <w:pPr>
        <w:pStyle w:val="TextBody"/>
        <w:bidi w:val="0"/>
        <w:jc w:val="both"/>
        <w:rPr/>
      </w:pPr>
      <w:r>
        <w:rPr/>
        <w:t> </w:t>
      </w:r>
    </w:p>
    <w:p>
      <w:pPr>
        <w:pStyle w:val="TextBody"/>
        <w:bidi w:val="0"/>
        <w:jc w:val="both"/>
        <w:rPr>
          <w:rFonts w:ascii="Times New Roman" w:hAnsi="Times New Roman"/>
          <w:b/>
          <w:color w:val="000000"/>
          <w:sz w:val="20"/>
        </w:rPr>
      </w:pPr>
      <w:bookmarkStart w:id="21" w:name="note_26_segment_information"/>
      <w:bookmarkEnd w:id="21"/>
      <w:r>
        <w:rPr>
          <w:rFonts w:ascii="Times New Roman" w:hAnsi="Times New Roman"/>
          <w:b/>
          <w:color w:val="000000"/>
          <w:sz w:val="20"/>
        </w:rPr>
        <w:t>Note 17 — Segment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operate in two primary segments: (i) Gathering and Processing, and (ii) Logistics and Transportation (also referred to as the Downstream Business). Our reportable segments include operating segments that have been aggregated based on the nature of the products and services provided.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contains the unrealized mark-to-market gains/losses related to derivative contracts that were not designated as cash flow hedges. Elimination of inter-segment transactions are reflected in the corporate and eliminations column.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show reportable segment information for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4"/>
        <w:gridCol w:w="146"/>
        <w:gridCol w:w="239"/>
        <w:gridCol w:w="899"/>
        <w:gridCol w:w="146"/>
        <w:gridCol w:w="146"/>
        <w:gridCol w:w="295"/>
        <w:gridCol w:w="1115"/>
        <w:gridCol w:w="146"/>
        <w:gridCol w:w="146"/>
        <w:gridCol w:w="243"/>
        <w:gridCol w:w="913"/>
        <w:gridCol w:w="146"/>
        <w:gridCol w:w="146"/>
        <w:gridCol w:w="196"/>
        <w:gridCol w:w="511"/>
        <w:gridCol w:w="146"/>
        <w:gridCol w:w="146"/>
        <w:gridCol w:w="257"/>
        <w:gridCol w:w="749"/>
        <w:gridCol w:w="166"/>
        <w:gridCol w:w="146"/>
        <w:gridCol w:w="196"/>
        <w:gridCol w:w="736"/>
        <w:gridCol w:w="596"/>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 and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Logistics and Transportation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and</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financial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28,515.1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34"/>
        <w:gridCol w:w="146"/>
        <w:gridCol w:w="239"/>
        <w:gridCol w:w="899"/>
        <w:gridCol w:w="146"/>
        <w:gridCol w:w="146"/>
        <w:gridCol w:w="328"/>
        <w:gridCol w:w="1083"/>
        <w:gridCol w:w="146"/>
        <w:gridCol w:w="146"/>
        <w:gridCol w:w="243"/>
        <w:gridCol w:w="913"/>
        <w:gridCol w:w="146"/>
        <w:gridCol w:w="146"/>
        <w:gridCol w:w="196"/>
        <w:gridCol w:w="511"/>
        <w:gridCol w:w="146"/>
        <w:gridCol w:w="146"/>
        <w:gridCol w:w="218"/>
        <w:gridCol w:w="788"/>
        <w:gridCol w:w="166"/>
        <w:gridCol w:w="146"/>
        <w:gridCol w:w="196"/>
        <w:gridCol w:w="736"/>
        <w:gridCol w:w="595"/>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 and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Logistics and Transportation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and</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financial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23,512.8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892.5</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5"/>
        <w:gridCol w:w="146"/>
        <w:gridCol w:w="243"/>
        <w:gridCol w:w="915"/>
        <w:gridCol w:w="166"/>
        <w:gridCol w:w="146"/>
        <w:gridCol w:w="299"/>
        <w:gridCol w:w="1130"/>
        <w:gridCol w:w="146"/>
        <w:gridCol w:w="146"/>
        <w:gridCol w:w="247"/>
        <w:gridCol w:w="930"/>
        <w:gridCol w:w="146"/>
        <w:gridCol w:w="146"/>
        <w:gridCol w:w="196"/>
        <w:gridCol w:w="391"/>
        <w:gridCol w:w="166"/>
        <w:gridCol w:w="146"/>
        <w:gridCol w:w="218"/>
        <w:gridCol w:w="788"/>
        <w:gridCol w:w="166"/>
        <w:gridCol w:w="146"/>
        <w:gridCol w:w="196"/>
        <w:gridCol w:w="736"/>
        <w:gridCol w:w="595"/>
      </w:tblGrid>
      <w:tr>
        <w:trPr/>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 and Processing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Logistics and Transportation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and</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financial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28,515.1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2,112.7</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58"/>
        <w:gridCol w:w="146"/>
        <w:gridCol w:w="244"/>
        <w:gridCol w:w="917"/>
        <w:gridCol w:w="146"/>
        <w:gridCol w:w="146"/>
        <w:gridCol w:w="333"/>
        <w:gridCol w:w="1098"/>
        <w:gridCol w:w="146"/>
        <w:gridCol w:w="146"/>
        <w:gridCol w:w="248"/>
        <w:gridCol w:w="932"/>
        <w:gridCol w:w="146"/>
        <w:gridCol w:w="146"/>
        <w:gridCol w:w="196"/>
        <w:gridCol w:w="421"/>
        <w:gridCol w:w="146"/>
        <w:gridCol w:w="146"/>
        <w:gridCol w:w="218"/>
        <w:gridCol w:w="788"/>
        <w:gridCol w:w="166"/>
        <w:gridCol w:w="146"/>
        <w:gridCol w:w="196"/>
        <w:gridCol w:w="736"/>
        <w:gridCol w:w="594"/>
      </w:tblGrid>
      <w:tr>
        <w:trPr/>
        <w:tc>
          <w:tcPr>
            <w:tcW w:w="1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 and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Logistics and Transportation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and</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Fees from midstream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financial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23,512.8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color w:val="000000"/>
        </w:rPr>
      </w:pPr>
      <w:r>
        <w:rPr>
          <w:color w:val="000000"/>
        </w:rPr>
        <w:t>“</w:t>
      </w:r>
      <w:r>
        <w:rPr>
          <w:rFonts w:ascii="Times New Roman" w:hAnsi="Times New Roman"/>
          <w:color w:val="000000"/>
          <w:sz w:val="16"/>
        </w:rPr>
        <w:t>Other segment items” represents Product purchases and fuel.</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Assets in the Corporate and Eliminations column primarily include tax-related assets, cash, prepaids and debt issuance costs for our revolving credit facilities.</w:t>
      </w:r>
    </w:p>
    <w:p>
      <w:pPr>
        <w:pStyle w:val="TextBody"/>
        <w:bidi w:val="0"/>
        <w:jc w:val="left"/>
        <w:rPr/>
      </w:pPr>
      <w:r>
        <w:rPr/>
        <w:t> </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our consolidated revenues disaggregated by product and service for the periods presented: </w:t>
      </w:r>
    </w:p>
    <w:tbl>
      <w:tblPr>
        <w:tblW w:w="9452" w:type="dxa"/>
        <w:jc w:val="left"/>
        <w:tblInd w:w="0" w:type="dxa"/>
        <w:tblLayout w:type="fixed"/>
        <w:tblCellMar>
          <w:top w:w="28" w:type="dxa"/>
          <w:left w:w="28" w:type="dxa"/>
          <w:bottom w:w="28" w:type="dxa"/>
          <w:right w:w="28" w:type="dxa"/>
        </w:tblCellMar>
      </w:tblPr>
      <w:tblGrid>
        <w:gridCol w:w="4071"/>
        <w:gridCol w:w="146"/>
        <w:gridCol w:w="222"/>
        <w:gridCol w:w="733"/>
        <w:gridCol w:w="188"/>
        <w:gridCol w:w="165"/>
        <w:gridCol w:w="222"/>
        <w:gridCol w:w="733"/>
        <w:gridCol w:w="146"/>
        <w:gridCol w:w="146"/>
        <w:gridCol w:w="203"/>
        <w:gridCol w:w="670"/>
        <w:gridCol w:w="172"/>
        <w:gridCol w:w="151"/>
        <w:gridCol w:w="203"/>
        <w:gridCol w:w="670"/>
        <w:gridCol w:w="61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Sales of commodities: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Revenue recognized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NGL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Condensate and crude oil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Non-customer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Derivative activities -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Derivative activities - Non-hedge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sales of commodities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Fees from midstream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Revenue recognized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Gathering and processing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NGL transportation, fractionation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Storage, terminaling and export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fees from midstream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Represents derivative activities that are not designated as hedging instruments under ASC 815.</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shows a reconciliation of reportable segment Operating margin to Income (loss) before income taxes for the periods presented:</w:t>
      </w:r>
    </w:p>
    <w:p>
      <w:pPr>
        <w:pStyle w:val="TextBody"/>
        <w:bidi w:val="0"/>
        <w:spacing w:before="40" w:after="283"/>
        <w:jc w:val="both"/>
        <w:rPr/>
      </w:pPr>
      <w:r>
        <w:rPr/>
        <w:t> </w:t>
      </w:r>
    </w:p>
    <w:tbl>
      <w:tblPr>
        <w:tblW w:w="8542" w:type="dxa"/>
        <w:jc w:val="left"/>
        <w:tblInd w:w="0" w:type="dxa"/>
        <w:tblLayout w:type="fixed"/>
        <w:tblCellMar>
          <w:top w:w="28" w:type="dxa"/>
          <w:left w:w="28" w:type="dxa"/>
          <w:bottom w:w="28" w:type="dxa"/>
          <w:right w:w="28" w:type="dxa"/>
        </w:tblCellMar>
      </w:tblPr>
      <w:tblGrid>
        <w:gridCol w:w="3541"/>
        <w:gridCol w:w="146"/>
        <w:gridCol w:w="222"/>
        <w:gridCol w:w="733"/>
        <w:gridCol w:w="188"/>
        <w:gridCol w:w="165"/>
        <w:gridCol w:w="222"/>
        <w:gridCol w:w="733"/>
        <w:gridCol w:w="166"/>
        <w:gridCol w:w="146"/>
        <w:gridCol w:w="203"/>
        <w:gridCol w:w="670"/>
        <w:gridCol w:w="172"/>
        <w:gridCol w:w="151"/>
        <w:gridCol w:w="203"/>
        <w:gridCol w:w="670"/>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reportable segment operating</w:t>
              <w:br/>
              <w:t>margin to 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reportable segments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1,616.2</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2_managements_discussion_analysis_f"/>
      <w:bookmarkEnd w:id="22"/>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Management’s Discussion and Analysis of Financial Condition and Results of Operations in our annual report on Form 10-K for the year ended December 31, 2025 (“Annual Report”), as well as the unaudited consolidated financial statements and notes hereto included in this quarterly report on Form 10-Q for the quarter ended June 30, 2026 (“Quarterly Report”).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engaged primarily in the business of:</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gathering, compressing, treating, processing, transporting, and purchasing and selling natural gas;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transporting, storing, fractionating, treating, and purchasing and selling NGLs and NGL products, including services to LPG exporters;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gathering, storing, terminaling, and purchasing and selling crude oil.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provide these services, we operate in two primary segments: (i) Gathering and Processing, and (ii) Logistics and Transportation (also referred to as our Downstream Business).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our other businesses. The Logistics and Transportation segment also includes our NGL pipeline system, which connects our gathering and processing positions in the Permian Basin, Southern Oklahoma and North Texas with our Downstream facilities in Mont Belvieu, Texas. Our Downstream facilities are located predominantly in Mont Belvieu and Galena Park, Texas, and in Lake Charles, Louisiana.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contains the unrealized mark-to-market gains/losses related to derivative contracts that were not designated as cash flow hedges.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Recent Developments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response to increasing production and to meet the infrastructure needs of producers and our downstream customers, our major expansion projects include the following:</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Permian Basin Processing Expansions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new cryogenic natural gas processing plant additions include: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Falcon II plant, a 275 MMcf/d plant in Permian Delaware (the “Falcon II plant”), commenced operations in the first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East Pembrook plant, a 275 MMcf/d plant in Permian Midland (the “East Pembrook plant”), commenced operations late in the first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East Driver plant, a 275 MMcf/d plant in Permian Midland (the “East Driver plant”), commenced operations late in the second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Copperhead plant, a 275 MMcf/d plant in Permian Delaware (the “Copperhead plant”), expected to begin operations in the first quarter of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Yeti plant, a 275 MMcf/d plant in Permian Delaware (the “Yeti plant”), expected to begin operations in the third quarter of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Yeti II plant, a 275 MMcf/d plant in Permian Delaware (the “Yeti II plant”), expected to begin operations in the fourth quarter of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Roadrunner III plant, a 265 MMcf/d plant in Permian Delaware (the “Roadrunner III plant”), expected to begin operations in the first quarter of 2028.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Copperhead II plant, a 275 MMcf/d plant in Permian Delaware (the “Copperhead II plant”), expected to begin operations in the first quarter of 2028.</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Fractionation Expansions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new 150 MBbl/d fractionation train additions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 11 in Mont Belvieu, Texas (“Train 11”), commenced operations in the second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 12 in Mont Belvieu, Texas (“Train 12”), expected to begin operations in the first quarter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 13 in Mont Belvieu, Texas (“Train 13”), expected to begin operations in the first quarter of 2028.</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NGL Pipeline Expansions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February 2025, we announced an intra-Delaware Basin expansion of our NGL pipeline system, (“Delaware Express”) in Permian Delaware. The expansion commenced operations in the second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we announced plans to construct the Speedway NGL Pipeline (“Speedway”) which will transport NGLs from our existing assets and future plant additions in the Permian Basin to our fractionation and storage complex in Mont Belvieu, Texas. The project consists of approximately 500 miles of 30-inch diameter pipeline and associated infrastructure with an initial capacity of approximately 500 MBbl/d, expandable to 1,000 MBbl/d. Speedway is expected to begin operations in the third quarter of 2027.</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LPG Export Expansion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February 2025, we announced an expansion of our LPG export capabilities at our Galena Park Marine Terminal, (“the GPMT LPG Export Expansion”) to include the addition of a new pipeline from Mont Belvieu to Galena Park and additional refrigeration. Our effective export capacity will increase up to 19 MMBbl per month, depending upon the mix of propane and butane demand, vessel size and availability of supply, among other factors. The GPMT LPG Export Expansion is expected to be completed in the third quarter of 2027.</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Natural Gas Pipelines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2025, we announced a 43-mile extension of our Bull Run intrastate natural gas pipeline (the “Bull Run Extension”) to expand and enhance connectivity of our Permian Delaware system to the Waha hub in West Texas. The Bull Run Extension is expected to begin operations in the first quarter of 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we announced a new 35-mile intrastate natural gas pipeline that will enhance connectivity across several of our plants in the Permian Midland and a 55-mile conversion of an existing Targa pipeline into natural gas service (together, “Buffalo Run”) that will connect our Permian Midland and Permian Delaware intra-basin natural gas systems. Buffalo Run is expected to be completed in stages and fully complete in early 2028.</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we announced the Forza Pipeline (“Forza”), a new 36-mile interstate natural gas pipeline in Permian Delaware that will connect our new and existing gas plants and enhance connectivity to the Waha hub. Forza filed a certificate application on December 3, 2025, with the FERC and, pending receipt of necessary regulatory approvals, is expected to begin operations in the middle of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Acquisitions and Joint Ventures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2024, we entered into a joint venture (“Blackcomb Joint Venture”) which will construct the Blackcomb pipeline designed to transport up to 2.5 Bcf/d of natural gas through approximately 365 miles of 42-inch pipeline from the Permian Basin in West Texas to the Agua Dulce area in South Texas. The Blackcomb pipeline is expected to be in service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WhiteWater announced the Blackcomb Joint Venture reached a final investment decision to construct the Traverse pipeline, which is designed to transport up to 2.5 Bcf/d of natural gas through approximately 160 miles of pipeline between the Agua Dulce area and the Katy area. The Traverse pipeline is expected to be in service in mid-2027.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we completed the acquisition of all of the membership interests in Stakeholder Midstream, LLC for $1.25 billion in cash (the “Stakeholder Acquisition”). We acquired a portfolio of complementary Permian Basin midstream infrastructure assets which have been integrated into our Permian Delaware operations. The acquisition had an effective date of January 1,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additional information, see “Note 4 – Acquisitions and Joint Ventures” to our Consolidated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Capital Allocation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2024, our Board of Directors approved a $1.0 billion common share repurchase program (the “2024 Share Repurchase Program”). In addition, in August 2025, our Board of Directors approved a new $1.0 billion common share repurchase program (the “2025 Share Repurchase Program” and, together with the 2024 Share Repurchase Program, the “Share Repurchase Programs”). We are not obligated to repurchase any specific dollar amount or number of shares under the Share Repurchase Programs and may discontinue these programs at any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we repurchased 308,102 shares and 535,903 shares of our common stock at a weighted average per share price of $259.93 and $252.07 for a total net cost of $80.1 million and $135.1 million, respectively. As of June 30, 2026, there was $1,238.5 million remaining under the Share Repurchase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we declared an increase to our quarterly common dividend to $1.25 per common share, or $5.00 per common share annualized, effective for the first quarter of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used $650.0 million in borrowings from our Commercial Paper Program and $600.0 million from our Securitization Facility to fund the Stakeholder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completed the redemption of all of the Partnership’s 6.875% Senior Unsecured Notes due 2029 (the “Partnership’s 6.875% Notes due 2029”) and recognized a debt extinguishment loss of $10.1 million, comprised of $7.8 million related to the redemption premium paid and $2.3 million from the write-off of debt issuance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March 2026, we completed an underwritten public offering of (i) $750.0 million aggregate principal amount of our 4.350% Senior Unsecured Notes due 2031 (the “4.350% Notes due 2031”) and (ii) $750.0 million aggregate principal amount of our 6.050% Senior Unsecured Notes due 2056 (the “6.050% Notes due 2056”) (collectively, the “March 2026 Senior Unsecured Notes”), resulting in net proceeds of approximately $1,483.2 million. The March 2026 Senior Unsecured Notes are fully and unconditionally guaranteed, jointly and severally, on a senior unsecured basis by our subsidiaries that guarantee the TRGP Revolver, so long as such subsidiary guarantors satisfy certain conditions. We used the net proceeds from the debt issuance for general corporate purposes, including to reduce borrowings under the Commercial Paper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the Partnership amended the accounts receivable securitization facility (the “Securitization Facility”) to, among other things, extend the facility termination date to July 30, 2027. Additionally, the total capacity of the Securitization Facility increased from up to $600 million to up to $800 million of borrowing capacity, which is comprised of a committed line of up to $600 million and an uncommitted line of up to $200 million. Availability under the Securitization Facility is subject to the value of the underlying receivables.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additional information about our recent debt-related transactions, see “Note 7 – Debt Obligations” to our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Corporation Tax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examinations by the Internal Revenue Service (the “IRS”) are currently in process for the 2022 taxable year of certain wholly-owned and consolidated subsidiaries that are treated as partnerships for U.S. federal income tax purposes. We are responding to information requests from the IRS with respect to these audits. We do not expect there to be any audit adjustments that would materially change our taxable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Federal statutes of limitations for returns filed in 2022 (for calendar year 2021) have expired. The statute of limitations expired on substantially all 2021 state income tax returns that were filed prior to October 15, 2022. For Texas, the statute of limitations has expired for 2021 returns (for calendar year 2020). However, tax authorities could review and adjust carryover attributes (e.g., net operating losses) generated in a closed tax year if utilized in an open tax year.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 discussion of recent accounting pronouncements that will affect us, see “Note 3 – Significant Accounting Policies” to our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How We Evaluate Our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profitability of our business is a function of the difference between: (i) the revenues we receive from our operations, including fee-based revenues from services and revenues from the natural gas, NGLs, crude oil and condensate we sell, and (ii) the costs associated with conducting our operations, including the costs of wellhead natural gas, crude oil and mixed NGLs that we purchase as well as operating, general and administrative costs and the impact of our commodity hedging activities. Because commodity price movements tend to impact both revenues and costs, increases or decreases in our revenues alone are not necessarily indicative of increases or decreases in our profitability. Our contract portfolio, the prevailing pricing environment for natural gas, NGLs and crude oil, the impact of our commodity hedging program and its ability to mitigate exposure to commodity price movements, and the volumes of natural gas, NGLs and crude oil throughput on our systems are important factors in determining our profitability. Our profitability is also affected by the NGL content in gathered wellhead natural gas, supply and demand for our products and services, utilization of our assets and changes in our customer mix.</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profitability is also impacted by fee-based contracts. Our growing capital expenditures for pipelines and gathering and processing assets underpinned by fee-based margin, expansion of our Downstream facilities, continued focus on adding fee-based margin to our existing and future gathering and processing contracts, as well as third-party acquisitions of businesses and assets, will continue to increase the number of our contracts that are fee-based. Fixed fees for services such as gathering and processing, transportation, fractionation, storage, terminaling and crude oil gathering are not directly tied to changes in market prices for commodities. Nevertheless, a change in market dynamics such as available commodity throughput does affect profitability.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uses a variety of financial measures and operational measurements to analyze our performance. These include: (i) throughput volumes, facility efficiencies and fuel consumption, (ii) operating expenses, (iii) capital expenditures and (iv) the following non-GAAP measures: adjusted EBITDA, adjusted cash flow from operations, adjusted free cash flow and adjusted operating margin (segment).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Throughput Volumes, Facility Efficiencies and Fuel Consumption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profitability is impacted by our ability to add new sources of natural gas and crude oil supplies to offset the natural decline of existing volumes from oil and natural gas wells that are connected to our gathering and processing systems. This is achieved by connecting new wells and adding new volumes in existing areas of production, as well as by capturing natural gas and crude oil supplies currently gathered by third parties. Similarly, our profitability is impacted by our ability to add new sources of mixed NGL supply, connected by third-party transportation and our NGL pipeline system, to our Downstream Business fractionation facilities and at times to our export facilities. We fractionate NGLs generated by our gathering and processing plants, as well as by contracting for mixed NGL supply from third-party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seek to increase adjusted operating margin by limiting volume losses, reducing fuel consumption and by increasing efficiency. With our gathering systems’ extensive use of remote monitoring capabilities, we monitor the volumes received at the wellhead or central delivery points along our gathering systems, the volume of natural gas received at our processing plant inlets and the volumes of NGLs and residue natural gas recovered by our processing plants. We also monitor the volumes of NGLs received, stored, fractionated and delivered across our logistics assets. This information is tracked through our processing plants and Downstream Business facilities to determine customer settlements for sales and volume related fees for service and helps us increase efficiency and reduce fuel consumption.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part of monitoring the efficiency of our operations, we measure the difference between the volume of natural gas received at the wellhead or central delivery points on our gathering systems and the volume received at the inlet of our processing plants as an indicator of fuel consumption and line loss. We also track the difference between the volume of natural gas received at the inlet of the processing plant and the NGLs and residue gas produced at the outlet of such plant to monitor the fuel consumption and recoveries of our facilities. Similar tracking is performed for our crude oil gathering and logistics assets and our NGL pipelines. These volume, recovery and fuel consumption measurements are an important part of our operational efficiency analysis and safety programs.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expenses are costs associated with the operation of specific assets. Labor, contract services, repair and maintenance and ad valorem taxes comprise the most significant portion of our operating expenses. These expenses remain relatively stable and independent of the volumes through our systems, but may increase with system expansions and inflation, and will fluctuate depending on the scope of the activities performed during a specific period.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Capital Expenditures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capital expenditures are classified as growth capital expenditures and maintenance capital expenditures. Growth capital expenditures improve the service capability of our existing assets, extend asset useful lives, increase capacities from existing levels, add capabilities, and reduce costs or enhance revenues. Maintenance capital expenditures are those expenditures that are necessary to maintain the service capability of our existing assets, including the replacement of system components and equipment, which are worn, obsolete or completing their useful life and expenditures to remain in compliance with environmental laws and regulations.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Capital spend associated with growth and maintenance projects is closely monitored. Return on investment is analyzed before a capital project is approved, spend is closely monitored throughout the development of the project, and the subsequent operational performance is compared to the assumptions used in the economic analysis performed for the capital investment approval. </w:t>
      </w:r>
    </w:p>
    <w:p>
      <w:pPr>
        <w:pStyle w:val="TextBody"/>
        <w:bidi w:val="0"/>
        <w:jc w:val="both"/>
        <w:rPr/>
      </w:pPr>
      <w:r>
        <w:rPr/>
        <w:t> </w:t>
      </w:r>
    </w:p>
    <w:p>
      <w:pPr>
        <w:pStyle w:val="TextBody"/>
        <w:bidi w:val="0"/>
        <w:jc w:val="both"/>
        <w:rPr>
          <w:rFonts w:ascii="Times New Roman" w:hAnsi="Times New Roman"/>
          <w:i/>
          <w:color w:val="212529"/>
          <w:sz w:val="20"/>
        </w:rPr>
      </w:pPr>
      <w:r>
        <w:rPr>
          <w:rFonts w:ascii="Times New Roman" w:hAnsi="Times New Roman"/>
          <w:i/>
          <w:color w:val="212529"/>
          <w:sz w:val="20"/>
        </w:rPr>
        <w:t>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utilize non-GAAP measures to analyze our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our results as reported under GAAP. Additionally, because our non-GAAP measures exclude some, but not all, items that affect income and segment operating margin, and are defined differently by different companies within our industry, our definitions may not be comparable with similarly titled measures of other companies, thereby diminishing their utility. Management compensates for the limitations of our non-GAAP measures as analytical tools by reviewing the comparable GAAP measures, understanding the differences between the measures and incorporating these insights into our decision-making processes.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Adjusted Operating Margin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define adjusted operating margin for our segments as revenues less product purchases and fuel. It is impacted by volumes and commodity prices as well as by our contract mix and commodity hedging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Gathering and Processing adjusted operating margin consists primarily of:</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service fees related to natural gas and crude oil gathering, treating and processing;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revenues from the sale of natural gas, condensate, crude oil and NGLs less producer settlements, fuel and transport and our equity volume hedge settlements.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Logistics and Transportation adjusted operating margin consists primarily of:</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service fees (including the pass-through of energy costs included in certain fee rates);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system product gains and losses;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NGL and natural gas sales, less NGL and natural gas purchases, fuel, third-party transportation costs and the net inventory 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operating margin impacts of mark-to-market hedge unrealized changes in fair value are reported in Other.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Adjusted operating margin for our segments provides useful information to investors because it is used as a supplemental financial measure by management and by external users of our financial statements, including investors and commercial banks, </w:t>
      </w:r>
      <w:r>
        <w:rPr>
          <w:rFonts w:ascii="Times New Roman" w:hAnsi="Times New Roman"/>
          <w:color w:val="000000"/>
          <w:sz w:val="20"/>
        </w:rPr>
        <w:t>to assess: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financial performance of our assets without regard to financing methods, capital structure or historical cost basis;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operating performance and return on capital as compared to other companies in the midstream energy sector, without regard to financing or capital structure;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viability of capital expenditure projects and acquisitions and the overall rates of return on alternative investment opportunities.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Management reviews adjusted operating margin and operating margin for our segments monthly as a core internal management process. We believe that investors benefit from having access to the same financial measures that management uses in evaluating our operating results.</w:t>
      </w:r>
      <w:r>
        <w:rPr>
          <w:rFonts w:ascii="Times New Roman" w:hAnsi="Times New Roman"/>
          <w:color w:val="212529"/>
          <w:sz w:val="20"/>
        </w:rPr>
        <w:t xml:space="preserve"> The reconciliation of our adjusted operating margin to the most directly comparable GAAP measure is presented under “Management’s Discussion and Analysis of Financial Condition and Results of Operations – Results of Operations – By Reportable Segment.”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define adjusted EBITDA as Net income (loss) attributable to Targa Resources Corp. before interest, income taxes, depreciation and amortization, and other items that we believe should be adjusted consistent with our core operating performance. The adjusting items are detailed in the adjusted EBITDA reconciliation table and its footnotes. Adjusted EBITDA is used as a supplemental financial measure by us and by external users of our financial statements such as investors, commercial banks and others to measure the ability of our assets to generate cash sufficient to pay interest costs, support our indebtedness and pay dividends to our investors.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Adjusted Cash Flow</w:t>
      </w:r>
      <w:r>
        <w:rPr>
          <w:rFonts w:ascii="Times New Roman" w:hAnsi="Times New Roman"/>
          <w:color w:val="212529"/>
          <w:sz w:val="20"/>
        </w:rPr>
        <w:t xml:space="preserve"> </w:t>
      </w:r>
      <w:r>
        <w:rPr>
          <w:rFonts w:ascii="Times New Roman" w:hAnsi="Times New Roman"/>
          <w:i/>
          <w:color w:val="212529"/>
          <w:sz w:val="20"/>
        </w:rPr>
        <w:t>from Operations and Adjusted Free Cash Flow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define adjusted cash flow from operations as adjusted EBITDA less cash interest expense on debt obligations and cash tax (expense) benefit. We define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us and by external users of our financial statements, such as investors, commercial banks and research analysts, to assess our ability to generate cash earnings (after servicing our debt and funding capital expenditures) to be used for corporate purposes, such as payment of dividends, retirement of debt or redemption of other financing arrangements.</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Non-GAAP Financial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non-GAAP financial measures used by management to the most directly comparable GAAP measures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34"/>
        <w:gridCol w:w="203"/>
        <w:gridCol w:w="732"/>
        <w:gridCol w:w="171"/>
        <w:gridCol w:w="151"/>
        <w:gridCol w:w="203"/>
        <w:gridCol w:w="669"/>
        <w:gridCol w:w="166"/>
        <w:gridCol w:w="146"/>
        <w:gridCol w:w="196"/>
        <w:gridCol w:w="706"/>
        <w:gridCol w:w="166"/>
        <w:gridCol w:w="146"/>
        <w:gridCol w:w="196"/>
        <w:gridCol w:w="706"/>
        <w:gridCol w:w="414"/>
      </w:tblGrid>
      <w:tr>
        <w:trPr/>
        <w:tc>
          <w:tcPr>
            <w:tcW w:w="52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Net income (loss) attributable to Targa Resources Corp. to Adjusted EBITDA, Adjusted Cash Flow from Operations and Adjusted Free Cash Flow</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 expense, net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 (benefit)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sale or disposition of assets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Write-down of assets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from financing activities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(earnings) loss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 from unconsolidated affiliates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contingent consideration</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on equity grants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Risk management activities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Noncontrolling interests adjustments (1)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Litigation and environmental reserves (2)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1,603.1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2,341.5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on debt obligations (3)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tax (expense) benefit</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Cash Flow from Operations</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1,371.0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1,904.4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Maintenance capital expenditures, net (4)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Growth capital expenditures, net (4)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Free Cash Flow</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205.3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318.6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Represents adjustments related to our subsidiaries with noncontrolling interests, including depreciation and amortization expense as well as earnings for certain plants within our WestTX joint venture not subject to noncontrolling interest accounting.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Litigation and environmental reserves includes charges related to specific litigation and environmental compliance matters that are nonrecurring in nature and outside the ordinary course of our business and/or not reflective of our ongoing core operations. We may incur such charges from time to time, and we believe it is useful to exclude these charges as we do not consider them reflective of our ongoing core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Excludes amortization recognized in interest expense.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Represents capital expenditures, net of any reimbursements of project costs and contributions from noncontrolling interests, and includes contributions to investments in unconsolidated affiliates.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Consolidated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and discussion is a summary of our consolidated results of operations for the periods presented: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6"/>
        <w:gridCol w:w="199"/>
        <w:gridCol w:w="656"/>
        <w:gridCol w:w="168"/>
        <w:gridCol w:w="148"/>
        <w:gridCol w:w="199"/>
        <w:gridCol w:w="656"/>
        <w:gridCol w:w="166"/>
        <w:gridCol w:w="146"/>
        <w:gridCol w:w="196"/>
        <w:gridCol w:w="571"/>
        <w:gridCol w:w="166"/>
        <w:gridCol w:w="146"/>
        <w:gridCol w:w="146"/>
        <w:gridCol w:w="346"/>
        <w:gridCol w:w="247"/>
        <w:gridCol w:w="146"/>
        <w:gridCol w:w="196"/>
        <w:gridCol w:w="648"/>
        <w:gridCol w:w="166"/>
        <w:gridCol w:w="146"/>
        <w:gridCol w:w="196"/>
        <w:gridCol w:w="648"/>
        <w:gridCol w:w="166"/>
        <w:gridCol w:w="146"/>
        <w:gridCol w:w="196"/>
        <w:gridCol w:w="571"/>
        <w:gridCol w:w="166"/>
        <w:gridCol w:w="146"/>
        <w:gridCol w:w="436"/>
        <w:gridCol w:w="500"/>
      </w:tblGrid>
      <w:tr>
        <w:trPr/>
        <w:tc>
          <w:tcPr>
            <w:tcW w:w="15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9" w:type="dxa"/>
            <w:gridSpan w:val="2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of commodities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Fees from midstream services</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purchases and fuel</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 expense</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operating (income) expense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from operations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earnings (loss)</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net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benefit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Net income (loss) attributable to noncontrolling interests</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Targa Resources Corp.</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Premium on repurchase of noncontrolling interests, net of tax</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common shareholders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764.6</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data:</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cash flow from operations (1)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free cash flow (1)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Adjusted EBITDA, adjusted cash flow from operations and adjusted free cash flow are non-GAAP financial measures and are discussed under “Management’s Discussion and Analysis of Financial Condition and Results of Operations – How We Evaluate Our Operations.”</w:t>
      </w:r>
    </w:p>
    <w:p>
      <w:pPr>
        <w:pStyle w:val="TextBody"/>
        <w:bidi w:val="0"/>
        <w:jc w:val="both"/>
        <w:rPr>
          <w:rFonts w:ascii="Times New Roman" w:hAnsi="Times New Roman"/>
          <w:color w:val="000000"/>
          <w:sz w:val="16"/>
        </w:rPr>
      </w:pPr>
      <w:r>
        <w:rPr>
          <w:rFonts w:ascii="Times New Roman" w:hAnsi="Times New Roman"/>
          <w:color w:val="000000"/>
          <w:sz w:val="16"/>
        </w:rPr>
        <w:t>NM Due to a low denominator, the noted percentage change is disproportionately high and as a result, considered not meaningful.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Commodity sales were relatively flat due to lower natural gas prices ($784.8 million) and the unfavorable impact of hedges ($291.6 million), partially offset by higher NGL and condensate prices ($597.8 million) and higher NGL, natural gas and condensate volumes ($435.2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fees from midstream services was primarily due to higher gas gathering and processing fees, higher transportation and fractionation fees, and higher export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product purchases and fuel reflected lower natural gas prices, partially offset by higher NGL prices, and higher NGL and natural gas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labor and maintenance costs in part due to system expansions, and the acquisition of certain assets in the Permian Basin, partially offset by lower compressor rental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“—Results of Operations—By Reportable Segment” for additional information on a segment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depreciation and amortization expense was primarily due to the acquisition of certain assets in the Permian Basin, higher amortization of right-of-use assets for finance leases, and the impact of system expansions on our asset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general and administrative expense was primarily due to higher 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other operating (income) expense was primarily due to lower asset abandonment costs.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income tax (expense) benefit was primarily due to the increase in pre-tax book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commodity sales reflected lower natural gas and NGL prices ($1,309.2 million) and the unfavorable impact of hedges ($244.1 million), partially offset by higher NGL, natural gas and condensate volumes ($899.6 million) and higher condensate prices ($70.5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fees from midstream services was primarily due to higher gas gathering and processing fees, higher transportation and fractionation fees, and higher export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product purchases and fuel reflected lower natural gas and NGL prices, partially offset by higher NGL and natural gas volumes.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labor and maintenance costs, and taxes in part due to system expansions, partially offset by lower compressor rental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“—Results of Operations—By Reportable Segment” for additional information on a segment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depreciation and amortization expense was primarily due to the acquisition of certain assets in the Permian Basin, higher amortization of right-of-use assets for finance leases, and the impact of system expansions on our asset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general and administrative expense was primarily due to higher compensation and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other operating (income) expense was primarily due to recognition of Section 45Q tax credits earned through our carbon capture and sequestration activities, and lower asset abandonment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interest expense, net, was primarily due to higher borrowings, partially offset by an increase in capitalized interest.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other, net, was primarily due to the premium paid on the redemption of all of the Partnership’s 6.875% Notes due 2029.</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income tax (expense) benefit was primarily due to the increase in pre-tax book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premium on repurchase of noncontrolling interests, net of tax was due to the Badlands Transaction in the first quarter of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Results of Operations—By Reportable Segment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our operating margins by reportable segment: </w:t>
      </w:r>
    </w:p>
    <w:tbl>
      <w:tblPr>
        <w:tblW w:w="7514" w:type="dxa"/>
        <w:jc w:val="left"/>
        <w:tblInd w:w="0" w:type="dxa"/>
        <w:tblLayout w:type="fixed"/>
        <w:tblCellMar>
          <w:top w:w="28" w:type="dxa"/>
          <w:left w:w="28" w:type="dxa"/>
          <w:bottom w:w="28" w:type="dxa"/>
          <w:right w:w="28" w:type="dxa"/>
        </w:tblCellMar>
      </w:tblPr>
      <w:tblGrid>
        <w:gridCol w:w="1681"/>
        <w:gridCol w:w="146"/>
        <w:gridCol w:w="459"/>
        <w:gridCol w:w="1521"/>
        <w:gridCol w:w="146"/>
        <w:gridCol w:w="146"/>
        <w:gridCol w:w="513"/>
        <w:gridCol w:w="1692"/>
        <w:gridCol w:w="146"/>
        <w:gridCol w:w="146"/>
        <w:gridCol w:w="196"/>
        <w:gridCol w:w="511"/>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 and Processing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Logistics and Transportation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Gathering and Processing Segment</w:t>
      </w:r>
      <w:r>
        <w:rPr>
          <w:rFonts w:ascii="Times New Roman" w:hAnsi="Times New Roman"/>
          <w:color w:val="000000"/>
          <w:sz w:val="20"/>
        </w:rPr>
        <w:t xml:space="preserve"> </w:t>
      </w:r>
    </w:p>
    <w:p>
      <w:pPr>
        <w:pStyle w:val="TextBody"/>
        <w:bidi w:val="0"/>
        <w:jc w:val="left"/>
        <w:rPr/>
      </w:pPr>
      <w:r>
        <w:rPr/>
        <w:t> </w:t>
      </w:r>
    </w:p>
    <w:tbl>
      <w:tblPr>
        <w:tblW w:w="10478" w:type="dxa"/>
        <w:jc w:val="left"/>
        <w:tblInd w:w="0" w:type="dxa"/>
        <w:tblLayout w:type="fixed"/>
        <w:tblCellMar>
          <w:top w:w="28" w:type="dxa"/>
          <w:left w:w="28" w:type="dxa"/>
          <w:bottom w:w="28" w:type="dxa"/>
          <w:right w:w="28" w:type="dxa"/>
        </w:tblCellMar>
      </w:tblPr>
      <w:tblGrid>
        <w:gridCol w:w="966"/>
        <w:gridCol w:w="196"/>
        <w:gridCol w:w="146"/>
        <w:gridCol w:w="646"/>
        <w:gridCol w:w="166"/>
        <w:gridCol w:w="146"/>
        <w:gridCol w:w="196"/>
        <w:gridCol w:w="146"/>
        <w:gridCol w:w="646"/>
        <w:gridCol w:w="146"/>
        <w:gridCol w:w="146"/>
        <w:gridCol w:w="196"/>
        <w:gridCol w:w="146"/>
        <w:gridCol w:w="646"/>
        <w:gridCol w:w="166"/>
        <w:gridCol w:w="146"/>
        <w:gridCol w:w="146"/>
        <w:gridCol w:w="286"/>
        <w:gridCol w:w="241"/>
        <w:gridCol w:w="146"/>
        <w:gridCol w:w="196"/>
        <w:gridCol w:w="146"/>
        <w:gridCol w:w="646"/>
        <w:gridCol w:w="166"/>
        <w:gridCol w:w="146"/>
        <w:gridCol w:w="196"/>
        <w:gridCol w:w="146"/>
        <w:gridCol w:w="646"/>
        <w:gridCol w:w="146"/>
        <w:gridCol w:w="146"/>
        <w:gridCol w:w="196"/>
        <w:gridCol w:w="146"/>
        <w:gridCol w:w="511"/>
        <w:gridCol w:w="166"/>
        <w:gridCol w:w="146"/>
        <w:gridCol w:w="146"/>
        <w:gridCol w:w="436"/>
        <w:gridCol w:w="486"/>
      </w:tblGrid>
      <w:tr>
        <w:trPr/>
        <w:tc>
          <w:tcPr>
            <w:tcW w:w="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0" w:type="dxa"/>
            <w:gridSpan w:val="3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operating statistics and price amounts)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statistics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Plant natural gas inlet, MMcf/d (2)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Midland (4)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Delaware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Permian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Central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Badlands (5) (6)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Coastal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production, MBbl/d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Midland (4)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Permian Delaware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Permian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Central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Badlands (5)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Coastal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gathered, MBbl/d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sales, BBtu/d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sales, MBbl/d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Condensate sales, MBbl/d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realized prices (7):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$/MMBtu</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$/gal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Condensate,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Plant natural gas inlet represents our undivided interest in the volume of natural gas passing through the meter located at the inlet of a natural gas processing plant.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Plant natural gas inlet volumes and gross NGL production volumes include producer take-in-kind volumes, while natural gas sales and NGL sales exclude producer take-in-kind volumes.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Permian Midland includes operations in WestTX, of which we own a 72.8% undivided interest, and other plants that are owned 100% by us. Operating results for the WestTX undivided interest assets are presented on a pro-rata net basis in our reported financials.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Operations include facilities that are not wholly owned by us.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Badlands natural gas inlet represents the total wellhead volume and includes the Targa volumes processed at the Little Missouri 4 plant.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jc w:val="both"/>
        <w:rPr>
          <w:rFonts w:ascii="Times New Roman" w:hAnsi="Times New Roman"/>
          <w:color w:val="000000"/>
          <w:sz w:val="16"/>
        </w:rPr>
      </w:pPr>
      <w:r>
        <w:rPr>
          <w:rFonts w:ascii="Times New Roman" w:hAnsi="Times New Roman"/>
          <w:color w:val="000000"/>
          <w:sz w:val="16"/>
        </w:rPr>
        <w:t>Average realized prices, net of fees, include the effect of realized commodity hedge gain/loss attributable to our equity volumes. The price is calculated using total commodity sales plus the hedge gain/loss as the numerator and total sales volume as the denominator, net of fees. Negative realized natural gas prices during the second quarter of 2026 were a result of an extended period of negative Waha prices due to significant egress constraint in the Permian Basin.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realized commodity hedge gain (loss) attributable to our equity volumes that are included in the adjusted operating margin of the Gathering and Processing segment:</w:t>
      </w:r>
    </w:p>
    <w:p>
      <w:pPr>
        <w:pStyle w:val="TextBody"/>
        <w:bidi w:val="0"/>
        <w:jc w:val="both"/>
        <w:rPr/>
      </w:pPr>
      <w:r>
        <w:rPr/>
        <w:t> </w:t>
      </w:r>
    </w:p>
    <w:tbl>
      <w:tblPr>
        <w:tblW w:w="7784" w:type="dxa"/>
        <w:jc w:val="left"/>
        <w:tblInd w:w="0" w:type="dxa"/>
        <w:tblLayout w:type="fixed"/>
        <w:tblCellMar>
          <w:top w:w="28" w:type="dxa"/>
          <w:left w:w="28" w:type="dxa"/>
          <w:bottom w:w="28" w:type="dxa"/>
          <w:right w:w="28" w:type="dxa"/>
        </w:tblCellMar>
      </w:tblPr>
      <w:tblGrid>
        <w:gridCol w:w="1411"/>
        <w:gridCol w:w="146"/>
        <w:gridCol w:w="155"/>
        <w:gridCol w:w="550"/>
        <w:gridCol w:w="146"/>
        <w:gridCol w:w="146"/>
        <w:gridCol w:w="199"/>
        <w:gridCol w:w="671"/>
        <w:gridCol w:w="166"/>
        <w:gridCol w:w="146"/>
        <w:gridCol w:w="196"/>
        <w:gridCol w:w="481"/>
        <w:gridCol w:w="166"/>
        <w:gridCol w:w="146"/>
        <w:gridCol w:w="181"/>
        <w:gridCol w:w="524"/>
        <w:gridCol w:w="152"/>
        <w:gridCol w:w="152"/>
        <w:gridCol w:w="222"/>
        <w:gridCol w:w="648"/>
        <w:gridCol w:w="173"/>
        <w:gridCol w:w="152"/>
        <w:gridCol w:w="204"/>
        <w:gridCol w:w="440"/>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volumetric data and price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(BBtu)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(MMgal)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(MBbl)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732" w:type="dxa"/>
        <w:jc w:val="left"/>
        <w:tblInd w:w="0" w:type="dxa"/>
        <w:tblLayout w:type="fixed"/>
        <w:tblCellMar>
          <w:top w:w="28" w:type="dxa"/>
          <w:left w:w="28" w:type="dxa"/>
          <w:bottom w:w="28" w:type="dxa"/>
          <w:right w:w="28" w:type="dxa"/>
        </w:tblCellMar>
      </w:tblPr>
      <w:tblGrid>
        <w:gridCol w:w="1411"/>
        <w:gridCol w:w="146"/>
        <w:gridCol w:w="155"/>
        <w:gridCol w:w="550"/>
        <w:gridCol w:w="146"/>
        <w:gridCol w:w="146"/>
        <w:gridCol w:w="199"/>
        <w:gridCol w:w="671"/>
        <w:gridCol w:w="166"/>
        <w:gridCol w:w="146"/>
        <w:gridCol w:w="196"/>
        <w:gridCol w:w="481"/>
        <w:gridCol w:w="166"/>
        <w:gridCol w:w="146"/>
        <w:gridCol w:w="155"/>
        <w:gridCol w:w="550"/>
        <w:gridCol w:w="146"/>
        <w:gridCol w:w="146"/>
        <w:gridCol w:w="222"/>
        <w:gridCol w:w="648"/>
        <w:gridCol w:w="166"/>
        <w:gridCol w:w="146"/>
        <w:gridCol w:w="196"/>
        <w:gridCol w:w="421"/>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volumetric data and price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Volume </w:t>
              <w:br/>
              <w:t>Settled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Price </w:t>
              <w:br/>
              <w:t>Spread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Gain </w:t>
              <w:br/>
              <w:t>(Loss)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 (BBtu)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(MMgal)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 (MBbl)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price spread is the differential between the contracted derivative instrument pricing and the price of the corresponding settled commodity transaction.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adjusted operating margin was primarily due to higher natural gas inlet volumes in the Permian which drove higher fee-based margin, partially offset by lower natural gas prices. The increase in natural gas inlet volumes in the Permian was attributable to the addition of the Pembrook II plant during the third quarter of 2025, the Bull Moose II plant during the fourth quarter of 2025, the Falcon II plant during the first quarter of 2026, the East Pembrook plant during the second quarter of 2026, continued strong producer activity and the acquisition of certain assets in the Permian Basin during the first quarter of 2026.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volumes resulting from multiple plant additions and the acquisition of certain assets in the Permian Basin during the first quarter of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primarily due to higher natural gas inlet volumes in the Permian which drove higher fee-based margin, partially offset by lower natural gas and NGL prices. The increase in natural gas inlet volumes in the Permian was attributable to the addition of the Pembrook II plant during the third quarter of 2025, the Bull Moose II plant during the fourth quarter of 2025, the Falcon II plant during the first quarter of 2026, the East Pembrook plant during the second quarter of 2026, continued strong producer activity and the acquisition of certain assets in the Permian Basin during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volumes resulting from multiple plant additions and the acquisition of certain assets in the Permian Basin during the first quarter of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Logistics and Transportation Segment</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07"/>
        <w:gridCol w:w="196"/>
        <w:gridCol w:w="146"/>
        <w:gridCol w:w="646"/>
        <w:gridCol w:w="146"/>
        <w:gridCol w:w="146"/>
        <w:gridCol w:w="196"/>
        <w:gridCol w:w="146"/>
        <w:gridCol w:w="646"/>
        <w:gridCol w:w="146"/>
        <w:gridCol w:w="146"/>
        <w:gridCol w:w="196"/>
        <w:gridCol w:w="146"/>
        <w:gridCol w:w="511"/>
        <w:gridCol w:w="146"/>
        <w:gridCol w:w="146"/>
        <w:gridCol w:w="323"/>
        <w:gridCol w:w="146"/>
        <w:gridCol w:w="196"/>
        <w:gridCol w:w="146"/>
        <w:gridCol w:w="646"/>
        <w:gridCol w:w="146"/>
        <w:gridCol w:w="146"/>
        <w:gridCol w:w="196"/>
        <w:gridCol w:w="146"/>
        <w:gridCol w:w="646"/>
        <w:gridCol w:w="146"/>
        <w:gridCol w:w="146"/>
        <w:gridCol w:w="196"/>
        <w:gridCol w:w="146"/>
        <w:gridCol w:w="511"/>
        <w:gridCol w:w="146"/>
        <w:gridCol w:w="146"/>
        <w:gridCol w:w="146"/>
        <w:gridCol w:w="286"/>
        <w:gridCol w:w="287"/>
      </w:tblGrid>
      <w:tr>
        <w:trPr/>
        <w:tc>
          <w:tcPr>
            <w:tcW w:w="16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1" w:type="dxa"/>
            <w:gridSpan w:val="3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operating statistics)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statistics MBbl/d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pipeline transportation volumes (2)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Fractionation volumes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Export volumes (3)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the total quantity of mixed NGLs that earn a transportation margin.</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Export volumes represent the quantity of NGL products delivered to third-party customers at our Galena Park Marine Terminal that are destined for international markets.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Three Months Ended June 30, 2026 Compared to Three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due to higher marketing margin, higher pipeline transportation and fractionation margin and higher LPG export margin. Marketing margin increased due to greater optimization opportunities. Pipeline transportation and fractionation volumes benefited from higher supply volumes primarily from our Permian Gathering and Processing systems and the addition of Train 11 early in the second quarter of 2026. LPG export margin increased due to higher volumes and fees.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compensation and benefits including amounts related to system expansions.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Six Months Ended June 30, 2026 Compared to Six Months Ended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adjusted operating margin was due to higher marketing margin, higher pipeline transportation and fractionation margin and higher LPG export margin. Marketing margin increased due to greater optimization opportunities. Pipeline transportation and fractionation volumes benefited from higher supply volumes primarily from our Permian Gathering and Processing systems and the addition of Train 11 early in the second quarter of 2026. LPG export margin increased due to higher volumes and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operating expenses was primarily due to higher compensation and benefits including amounts related to system expansions.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w:t>
      </w:r>
    </w:p>
    <w:p>
      <w:pPr>
        <w:pStyle w:val="TextBody"/>
        <w:bidi w:val="0"/>
        <w:jc w:val="both"/>
        <w:rPr/>
      </w:pPr>
      <w:r>
        <w:rPr/>
        <w:t> </w:t>
      </w:r>
    </w:p>
    <w:tbl>
      <w:tblPr>
        <w:tblW w:w="9784" w:type="dxa"/>
        <w:jc w:val="left"/>
        <w:tblInd w:w="0" w:type="dxa"/>
        <w:tblLayout w:type="fixed"/>
        <w:tblCellMar>
          <w:top w:w="28" w:type="dxa"/>
          <w:left w:w="28" w:type="dxa"/>
          <w:bottom w:w="28" w:type="dxa"/>
          <w:right w:w="28" w:type="dxa"/>
        </w:tblCellMar>
      </w:tblPr>
      <w:tblGrid>
        <w:gridCol w:w="1981"/>
        <w:gridCol w:w="146"/>
        <w:gridCol w:w="260"/>
        <w:gridCol w:w="678"/>
        <w:gridCol w:w="193"/>
        <w:gridCol w:w="193"/>
        <w:gridCol w:w="260"/>
        <w:gridCol w:w="678"/>
        <w:gridCol w:w="146"/>
        <w:gridCol w:w="146"/>
        <w:gridCol w:w="283"/>
        <w:gridCol w:w="827"/>
        <w:gridCol w:w="166"/>
        <w:gridCol w:w="146"/>
        <w:gridCol w:w="267"/>
        <w:gridCol w:w="534"/>
        <w:gridCol w:w="226"/>
        <w:gridCol w:w="199"/>
        <w:gridCol w:w="267"/>
        <w:gridCol w:w="575"/>
        <w:gridCol w:w="146"/>
        <w:gridCol w:w="146"/>
        <w:gridCol w:w="321"/>
        <w:gridCol w:w="789"/>
        <w:gridCol w:w="21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contains the unrealized mark-to-market gains/losses related to derivative contracts that were not designated as cash flow hedges. We have entered into derivative instruments to hedge the commodity price associated with a portion of our future commodity purchases and sales and natural gas transportation basis risk within our Logistics and Transportation segment. See further details of our risk management program in “Item 3. Quantitative and Qualitative Disclosures About Market Risk.”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inclusive of our consolidated joint venture accounts, we had $132.3 million of Cash and cash equivalents on our Consolidated Balance Sheets. On a consolidated basis, our main sources of liquidity and capital resources are internally generated cash flows from operations, borrowings under the TRGP Revolver, the Commercial Paper Program, the Securitization Facility, and access to debt and equity capital markets. We have the ability to supplement these sources of liquidity with joint venture arrangements and proceeds from asset sales. Our exposure to adverse credit conditions includes our credit facilities, cash investments, hedging abilities, customer performance risks and counterparty performance risks.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our sources of liquidity and capital resources are sufficient to meet our anticipated cash requirements for at least the next twelve months to satisfy our obligations, including our day-to-day operations, growth capital expenditures, dividend payments, maintenance capital expenditures, debt service and other anticipated obligations. Our ability to generate cash is subject to a number of factors, some of which are beyond our control. These include commodity prices and ongoing efforts to manage operating costs and maintenance capital expenditures, as well as general economic, financial, competitive, legislative, regulatory and other factors. For additional discussion on recent factors impacting our liquidity and capital resources, see “Recent Developments.”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Short-term 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short-term liquidity on a consolidated basis as of June 30, 2026, was:</w:t>
      </w:r>
    </w:p>
    <w:p>
      <w:pPr>
        <w:pStyle w:val="TextBody"/>
        <w:bidi w:val="0"/>
        <w:jc w:val="both"/>
        <w:rPr/>
      </w:pPr>
      <w:r>
        <w:rPr/>
        <w:t> </w:t>
      </w:r>
    </w:p>
    <w:tbl>
      <w:tblPr>
        <w:tblW w:w="7753" w:type="dxa"/>
        <w:jc w:val="left"/>
        <w:tblInd w:w="0" w:type="dxa"/>
        <w:tblLayout w:type="fixed"/>
        <w:tblCellMar>
          <w:top w:w="28" w:type="dxa"/>
          <w:left w:w="28" w:type="dxa"/>
          <w:bottom w:w="28" w:type="dxa"/>
          <w:right w:w="28" w:type="dxa"/>
        </w:tblCellMar>
      </w:tblPr>
      <w:tblGrid>
        <w:gridCol w:w="5911"/>
        <w:gridCol w:w="146"/>
        <w:gridCol w:w="344"/>
        <w:gridCol w:w="1141"/>
        <w:gridCol w:w="21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on hand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availability under the Securitization Facility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availability under the TRGP Revolver and Commercial Paper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borrowings under the Securitization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borrowings under the TRGP Revolver and Commercial Paper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letters of credit under the TRGP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xml:space="preserve">Includes cash held in our consolidated joint venture accounts.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total borrowing capacity of the Securitization Facility increased to up to $800 million as part of the July 2026 amendment of the facility.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potential capital resources associated with our existing arrangements include our right to request an additional $500.0 million in commitment increases under the TRGP Revolver, subject to the terms therein. The TRGP Revolver matures on February 18, 2030. The maturity date is extendable, subject to the lenders’ consent, by one year up to two times.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the Partnership amended the Securitization Facility to, among other things, extend the facility termination date to July 30, 2027. Additionally, the total capacity of the Securitization Facility increased from up to $600 million to up to $800 million of borrowing capacity, which is comprised of a committed line of up to $600 million and an uncommitted line of up to $200 million. Availability under the Securitization Facility is subject to the value of the underlying receivables.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portion of our capital resources are allocated to letters of credit to satisfy certain counterparty credit requirements. As of June 30, 2026, we had $17.9 million in letters of credit outstanding under the TRGP Revolver. The letters of credit also reflect certain counterparties’ views of our financial condition and ability to satisfy our performance obligations, as well as commodity prices and other factors.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Working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Working capital is the amount by which current assets exceed current liabilities. On a consolidated basis, at the end of any given month, accounts receivable and payable tied to commodity sales and purchases are relatively balanced, with receivables from customers being offset by plant settlements payable to producers. The factors that typically cause overall variability in our reported total working capital are: (i) our cash position; (ii) liquids inventory levels, which we closely manage, as well as liquids valuations; (iii) changes in payables and accruals related to major growth capital projects; (iv) changes in the fair value of the current portion of derivative contracts; (v) monthly swings in borrowings under the Securitization Facility and changes in other current debt balances; and (vi) major structural changes in our asset base or business operations, such as certain organic growth capital projects and acquisitions or divestitures.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working capital as of June 30, 2026 increased $402.1 million compared to December 31, 2025. The increase was primarily due to the redemption of all of the Partnership’s 6.875% Notes due 2029 and higher trade receivables, partially offset by a higher outstanding balance on the Securitization Facility, a higher payables balance due to capital spending on growth projects, a lower NGL inventory balance, and higher product purchases and fuel payables.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Long-term Financing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long-term financing consists of potentially raising funds through long-term debt obligations, the issuance of common stock, preferred stock, or joint venture arrangements.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used $650.0 million in borrowings from our Commercial Paper Program and $600.0 million from our Securitization Facility to fund the Stakeholder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completed the redemption of all of the Partnership’s 6.875% Notes due 2029 and recognized a debt extinguishment loss of $10.1 million, comprised of $7.8 million related to the redemption premium paid and $2.3 million from the write-off of debt issuance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March 2026, we completed an underwritten public offering of the 4.350% Notes due 2031 and the 6.050% Notes due 2056, resulting in net proceeds of approximately $1,483.2 million. We used the net proceeds from the debt issuance for general corporate purposes, including to reduce borrowings under the Commercial Paper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future, we or the Partnership may redeem, purchase or exchange certain of our and/or the Partnership’s outstanding debt through redemption calls, cash purchases and/or exchanges for other debt, in open market purchases, privately negotiated transactions or otherwise. Such calls, repurchases, exchanges or redemptions, if any, will depend on prevailing market conditions, our liquidity requirements, contractual restrictions and other factors. The amounts involved may be 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our debt balances and our subsidiaries’ debt balances have not adversely affected our operations, ability to grow or ability to repay or refinance indebtedness.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information about our debt obligations, see “Note 7 – Debt Obligations” to our Consolidated Financial Statements. For information about our interest rate risk, see “Item 3. Quantitative and Qualitative Disclosures About Market Risk—Interest Rate Risk.”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Compliance with Debt Covenants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both we and the Partnership were in compliance with the covenants contained in our various debt agreements.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 Analysis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w:t>
      </w:r>
    </w:p>
    <w:p>
      <w:pPr>
        <w:pStyle w:val="TextBody"/>
        <w:bidi w:val="0"/>
        <w:jc w:val="both"/>
        <w:rPr/>
      </w:pPr>
      <w:r>
        <w:rPr/>
        <w:t> </w:t>
      </w:r>
    </w:p>
    <w:tbl>
      <w:tblPr>
        <w:tblW w:w="3676" w:type="dxa"/>
        <w:jc w:val="left"/>
        <w:tblInd w:w="0" w:type="dxa"/>
        <w:tblLayout w:type="fixed"/>
        <w:tblCellMar>
          <w:top w:w="28" w:type="dxa"/>
          <w:left w:w="28" w:type="dxa"/>
          <w:bottom w:w="28" w:type="dxa"/>
          <w:right w:w="28" w:type="dxa"/>
        </w:tblCellMar>
      </w:tblPr>
      <w:tblGrid>
        <w:gridCol w:w="221"/>
        <w:gridCol w:w="676"/>
        <w:gridCol w:w="152"/>
        <w:gridCol w:w="152"/>
        <w:gridCol w:w="205"/>
        <w:gridCol w:w="676"/>
        <w:gridCol w:w="146"/>
        <w:gridCol w:w="146"/>
        <w:gridCol w:w="308"/>
        <w:gridCol w:w="803"/>
        <w:gridCol w:w="191"/>
      </w:tblGrid>
      <w:tr>
        <w:trPr/>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primary drivers of cash flows from operating activities are: (i) the collection of cash from customers from the sale of NGLs and natural gas, as well as fees for processing, gathering, export, fractionation, terminaling, storage and transportation; (ii) the payment of amounts related to the purchase of NGLs and natural gas; and (iii) the payment of other expenses, primarily field operating costs, general and administrative expense and interest expense. In addition, we use derivative instruments to manage our exposure to commodity price risk. Changes in the prices of the commodities we hedge impact our derivative settlements as well as our margin deposit requirements on unsettled futures contracts.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net cash provided by operating activities was primarily due to a decrease in payments for product purchases resulting from lower natural gas and NGL prices, partially offset by lower collections from customers resulting from lower revenues in 2026 compared to 2025, and higher payments for operating costs, hedging activities, and interest on debt.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jc w:val="both"/>
        <w:rPr/>
      </w:pPr>
      <w:r>
        <w:rPr/>
        <w:t> </w:t>
      </w:r>
    </w:p>
    <w:tbl>
      <w:tblPr>
        <w:tblW w:w="3764" w:type="dxa"/>
        <w:jc w:val="left"/>
        <w:tblInd w:w="0" w:type="dxa"/>
        <w:tblLayout w:type="fixed"/>
        <w:tblCellMar>
          <w:top w:w="28" w:type="dxa"/>
          <w:left w:w="28" w:type="dxa"/>
          <w:bottom w:w="28" w:type="dxa"/>
          <w:right w:w="28" w:type="dxa"/>
        </w:tblCellMar>
      </w:tblPr>
      <w:tblGrid>
        <w:gridCol w:w="211"/>
        <w:gridCol w:w="706"/>
        <w:gridCol w:w="166"/>
        <w:gridCol w:w="146"/>
        <w:gridCol w:w="196"/>
        <w:gridCol w:w="706"/>
        <w:gridCol w:w="166"/>
        <w:gridCol w:w="146"/>
        <w:gridCol w:w="241"/>
        <w:gridCol w:w="869"/>
        <w:gridCol w:w="211"/>
      </w:tblGrid>
      <w:tr>
        <w:trPr/>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net cash used in investing activities was primarily due to outlays for the Stakeholder Acquisition and higher outlays for major capital growth projects in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jc w:val="both"/>
        <w:rPr/>
      </w:pPr>
      <w:r>
        <w:rPr/>
        <w:t> </w:t>
      </w:r>
    </w:p>
    <w:tbl>
      <w:tblPr>
        <w:tblW w:w="6916" w:type="dxa"/>
        <w:jc w:val="left"/>
        <w:tblInd w:w="0" w:type="dxa"/>
        <w:tblLayout w:type="fixed"/>
        <w:tblCellMar>
          <w:top w:w="28" w:type="dxa"/>
          <w:left w:w="28" w:type="dxa"/>
          <w:bottom w:w="28" w:type="dxa"/>
          <w:right w:w="28" w:type="dxa"/>
        </w:tblCellMar>
      </w:tblPr>
      <w:tblGrid>
        <w:gridCol w:w="4636"/>
        <w:gridCol w:w="197"/>
        <w:gridCol w:w="650"/>
        <w:gridCol w:w="167"/>
        <w:gridCol w:w="147"/>
        <w:gridCol w:w="197"/>
        <w:gridCol w:w="711"/>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Source of Financing Activities, net</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including financing costs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noncontrolling interests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common shareholders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(distributions to) noncontrolling interests, net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shares and Other, net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change in net cash provided by (used in) financing activities was due to lower repurchases of noncontrolling interests primarily due to the Badlands Transaction in 2025 and lower repurchases of common stock, partially offset by lower proceeds from debt activity and by higher dividends paid. The decrease in cash flows from our debt activity during the six months ended June 30, 2026 as compared to the same period in 2025 was due to lower proceeds from the issuance of our senior unsecured notes in 2026 and the use of cash in January 2026 to redeem all of the Partnership’s 6.875% Notes due 2029, partially offset by higher proceeds from net borrowings under the Commercial Paper Program and the Securitization Facility.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Summarized Combined Financial Information for Guarantee of Securities of Subsidiaries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subsidiaries that guarantee our obligations under the TRGP Revolver (the “Obligated Group”) also fully and unconditionally guarantee, jointly and severally, the payment of TRGP’s senior unsecured notes, subject to certain limited exceptions.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lieu of providing separate financial statements for the Obligated Group, we have presented the following supplemental summarized Combined Balance Sheet and Statement of Operations information for the Obligated Group based on Rule 13-01 of the SEC’s Regulation S-X.</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significant intercompany items among the Obligated Group have been eliminated in the supplemental summarized combined financial information. The Obligated Group’s investment balances in our non-guarantor subsidiaries have been excluded from the supplemental summarized combined financial information. Significant intercompany balances and activity for the Obligated Group with other related parties, including our non-guarantor subsidiaries (referred to as “affiliates”), are presented separately in the following supplemental summarized combined financial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Summarized Combined Balance Sheet and Statement of Operations information for the Obligated Group as of the end of the most recent periods presented follows:</w:t>
      </w:r>
    </w:p>
    <w:p>
      <w:pPr>
        <w:pStyle w:val="TextBody"/>
        <w:bidi w:val="0"/>
        <w:jc w:val="both"/>
        <w:rPr/>
      </w:pPr>
      <w:r>
        <w:rPr/>
        <w:t> </w:t>
      </w:r>
    </w:p>
    <w:tbl>
      <w:tblPr>
        <w:tblW w:w="8640" w:type="dxa"/>
        <w:jc w:val="left"/>
        <w:tblInd w:w="0" w:type="dxa"/>
        <w:tblLayout w:type="fixed"/>
        <w:tblCellMar>
          <w:top w:w="28" w:type="dxa"/>
          <w:left w:w="28" w:type="dxa"/>
          <w:bottom w:w="28" w:type="dxa"/>
          <w:right w:w="28" w:type="dxa"/>
        </w:tblCellMar>
      </w:tblPr>
      <w:tblGrid>
        <w:gridCol w:w="4861"/>
        <w:gridCol w:w="246"/>
        <w:gridCol w:w="306"/>
        <w:gridCol w:w="1104"/>
        <w:gridCol w:w="166"/>
        <w:gridCol w:w="146"/>
        <w:gridCol w:w="326"/>
        <w:gridCol w:w="1174"/>
        <w:gridCol w:w="311"/>
      </w:tblGrid>
      <w:tr>
        <w:trPr/>
        <w:tc>
          <w:tcPr>
            <w:tcW w:w="48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Summarized Combined Balance Sheet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 - affiliates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OWNERS’ EQUITY (DEFICIT)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Targa Resources Corp. stockholders’ equity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liabilities and owners’ equity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Summarized Combined Statement of Operations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Common Stock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details the dividends on common stock declared and/or paid by us for the six months ended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9"/>
        <w:gridCol w:w="146"/>
        <w:gridCol w:w="1146"/>
        <w:gridCol w:w="146"/>
        <w:gridCol w:w="339"/>
        <w:gridCol w:w="890"/>
        <w:gridCol w:w="146"/>
        <w:gridCol w:w="146"/>
        <w:gridCol w:w="354"/>
        <w:gridCol w:w="929"/>
        <w:gridCol w:w="146"/>
        <w:gridCol w:w="146"/>
        <w:gridCol w:w="509"/>
        <w:gridCol w:w="860"/>
        <w:gridCol w:w="146"/>
        <w:gridCol w:w="146"/>
        <w:gridCol w:w="794"/>
        <w:gridCol w:w="1711"/>
        <w:gridCol w:w="196"/>
      </w:tblGrid>
      <w:tr>
        <w:trPr/>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Paid or</w:t>
              <w:br/>
              <w:t>To Be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Common</w:t>
              <w:br/>
              <w:t>Dividends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Common</w:t>
              <w:br/>
              <w:t>Dividends Paid or</w:t>
              <w:br/>
              <w:t>To Be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Dividends on </w:t>
              <w:br/>
              <w:t>Share-Based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 Declared per Share of Common Stock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per share amounts)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actual amount we declare as dividends in the future depends on our consolidated financial condition, results of operations, cash flow, the level of our capital expenditures, future business prospects, compliance with our debt covenants and any other matters that our Board of Directors deems relevant.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Capital Expenditures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details cash outlays for capital projects for the periods presented: </w:t>
      </w:r>
    </w:p>
    <w:p>
      <w:pPr>
        <w:pStyle w:val="TextBody"/>
        <w:bidi w:val="0"/>
        <w:jc w:val="both"/>
        <w:rPr/>
      </w:pPr>
      <w:r>
        <w:rPr/>
        <w:t> </w:t>
      </w:r>
    </w:p>
    <w:tbl>
      <w:tblPr>
        <w:tblW w:w="6497" w:type="dxa"/>
        <w:jc w:val="left"/>
        <w:tblInd w:w="0" w:type="dxa"/>
        <w:tblLayout w:type="fixed"/>
        <w:tblCellMar>
          <w:top w:w="28" w:type="dxa"/>
          <w:left w:w="28" w:type="dxa"/>
          <w:bottom w:w="28" w:type="dxa"/>
          <w:right w:w="28" w:type="dxa"/>
        </w:tblCellMar>
      </w:tblPr>
      <w:tblGrid>
        <w:gridCol w:w="3891"/>
        <w:gridCol w:w="146"/>
        <w:gridCol w:w="203"/>
        <w:gridCol w:w="670"/>
        <w:gridCol w:w="172"/>
        <w:gridCol w:w="151"/>
        <w:gridCol w:w="203"/>
        <w:gridCol w:w="670"/>
        <w:gridCol w:w="39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Growth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Maintenance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Gross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capital project payables and accruals,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outlays for capital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1,909.6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Growth capital expenditures, net of any reimbursements of project costs and contributions from noncontrolling interests, and including contributions to investments in unconsolidated affiliates, were $2,027.7 million and $1,479.6 million for the six months ended June 30, 2026 and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Maintenance capital expenditures, net of any reimbursements of project costs and contributions from noncontrolling interests, were $90.0 million and $106.2 million for the six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growth capital expenditures was primarily due to higher construction activities during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were $64.1 million in surety bonds outstanding related to various performance obligations. These are in place to support various performance obligations as required by (i) statutes within the regulatory jurisdictions where we operate and (ii) counterparty support. Obligations under these surety bonds are not normally called, as we typically comply with the underlying performance requirement.</w:t>
      </w:r>
    </w:p>
    <w:p>
      <w:pPr>
        <w:pStyle w:val="TextBody"/>
        <w:bidi w:val="0"/>
        <w:jc w:val="both"/>
        <w:rPr/>
      </w:pPr>
      <w:r>
        <w:rPr/>
        <w:t> </w:t>
      </w:r>
    </w:p>
    <w:p>
      <w:pPr>
        <w:pStyle w:val="TextBody"/>
        <w:bidi w:val="0"/>
        <w:jc w:val="both"/>
        <w:rPr>
          <w:rFonts w:ascii="Times New Roman" w:hAnsi="Times New Roman"/>
          <w:b/>
          <w:color w:val="000000"/>
          <w:sz w:val="20"/>
        </w:rPr>
      </w:pPr>
      <w:bookmarkStart w:id="23" w:name="item_3_quantitative_qualitative_disclosu"/>
      <w:bookmarkEnd w:id="23"/>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principal market risks are our exposure to changes in commodity prices, particularly to the prices of natural gas, NGLs and crude oil, changes in interest rates, as well as nonperformance by our risk management counterparties and customers.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Risk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evaluate counterparty risks related to our commodity derivative contracts and trade credit. All of our commodity derivatives are with major financial institutions or major energy companies. Should any of these financial counterparties not perform, we may not realize the benefit of some of our hedges under lower commodity prices, which could have a material adverse effect on our results of operations. We sell our natural gas, NGLs and condensate to a variety of purchasers. Non-performance by a trade creditor could result in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prices for natural gas, NGLs and crude oil are volatile. In an effort to reduce the variability of our cash flows, we have entered into derivative instruments to hedge the commodity price associated with a portion of our expected natural gas, NGL and condensate equity volumes, future commodity purchases and sales, and transportation basis risk through 2029. Market conditions may also impact our ability to enter into future commodity derivative contracts.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Commodity Price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portion of our revenues are derived from percent-of-proceeds contracts under which we receive a portion of the proceeds from the sale of commodities as payment for services. The prices of natural gas, NGLs and crude oil are subject to fluctuations in response to changes in supply, demand, market uncertainty and a variety of additional factors beyond our control. We monitor these risks and enter into hedging transactions designed to mitigate the impact of commodity price fluctuations on our business. Both the realized settlements for a derivative instrument designated as a hedge and the related cash flows are classified in the same category as the item being hedged within the Consolidated Statement of Operations and within the Consolidated Statements of 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purpose of our commodity risk management activities is to hedge some of the exposure to commodity price risk and reduce fluctuations in our operating cash flow due to fluctuations in commodity prices. In an effort to reduce the variability of our cash flows, as of June 30, 2026, we have hedged the commodity price associated with a portion of our expected (i) natural gas, NGL, and condensate equity volumes in our Gathering and Processing operations that result from our percent-of-proceeds processing arrangements, (ii) future commodity purchases and sales in our Logistics and Transportation segment and (iii) natural gas transportation basis risk in our Logistics and Transportation segment. We hedge a higher percentage of our expected equity volumes in the current year compared to future years, for which we hedge incrementally lower percentages of expected equity volumes. We also enter into commodity financial instruments to help manage other short-term commodity-related business risks of our ongoing operations and in conjunction with marketing opportunities available to us in the operations of our logistics and transportation assets. With swaps, we typically receive an agreed fixed price for a specified notional quantity of commodities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advance for the volumes hedged. In order to avoid having a greater volume hedged than our actual equity volumes, we typically limit our use of swaps to hedge the prices of less than our expected equity volumes. We intend to continue to manage our exposure to commodity prices in the future by entering into derivative transactions using swaps, futures or other derivative instruments as market conditions permit.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entering into new hedges, we intend to generally match the NGL product composition and the NGL and natural gas delivery points to those of our physical equity volumes. The NGL hedges cover specific NGL products based upon the expected equity NGL composition. We believe this strategy avoids uncorrelated risks resulting from employing hedges on crude oil or other petroleum products as “proxy” hedges of NGL prices. The fair values of our natural gas and NGL hedges are based on published index prices for delivery at various locations, which closely approximate the actual natural gas and NGL delivery points. A portion of our condensate sales are hedged using crude oil hedges that are based on NYMEX futures contracts for West Texas Intermediate light, sweet crude.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majority of these commodity price hedges are documented pursuant to a standard International Swaps and Derivatives Association (“ISDA”) form with customized credit and legal terms. The principal counterparties (or, if applicable, their guarantors) have investment grade credit ratings. While we have no current obligation to post cash, letters of credit or other additional collateral to secure these hedges so long as we maintain our current credit rating, we could be obligated to post collateral to secure the hedges in the event of an adverse change in our creditworthiness where a counterparty’s exposure to our credit increases over the term of the hedge as a result of higher commodity prices.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enter into commodity price hedging transactions using futures contracts on futures exchanges. Exchange traded futures are subject to exchange margin requirements, so we may have to increase our cash deposit due to a rise in natural gas, NGL or crude oil prices. Unlike bilateral hedges, we are not subject to counterparty credit risks when using futures on futures exchanges.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contracts may expose us to the risk of financial loss in certain circumstances. Generally, our hedging arrangements provide us protection on the hedged volumes if prices decline below the prices at which these hedges are set. If prices rise above the prices at which they have been hedged, we will receive less revenue on the hedged volumes than we would receive in the absence of hedges (other than with respect to purchased calls).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analyze the risk associated with our derivative instruments, we utilize a sensitivity analysis. The sensitivity analysis measures the change in fair value of our derivative instruments based on a hypothetical 10% change in the underlying commodity prices, but does not reflect the impact that the same hypothetical price movement would have on the related hedged items. The financial statement impact on the fair value of a derivative instrument resulting from a change in commodity price would normally be offset by a corresponding gain or loss on the hedged item under hedge accounting.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shows the effect of hypothetical price movements on the estimated fair value of our derivative instruments as of June 30, 2026: </w:t>
      </w:r>
    </w:p>
    <w:p>
      <w:pPr>
        <w:pStyle w:val="TextBody"/>
        <w:bidi w:val="0"/>
        <w:jc w:val="both"/>
        <w:rPr/>
      </w:pPr>
      <w:r>
        <w:rPr/>
        <w:t> </w:t>
      </w:r>
    </w:p>
    <w:tbl>
      <w:tblPr>
        <w:tblW w:w="7076" w:type="dxa"/>
        <w:jc w:val="left"/>
        <w:tblInd w:w="0" w:type="dxa"/>
        <w:tblLayout w:type="fixed"/>
        <w:tblCellMar>
          <w:top w:w="28" w:type="dxa"/>
          <w:left w:w="28" w:type="dxa"/>
          <w:bottom w:w="28" w:type="dxa"/>
          <w:right w:w="28" w:type="dxa"/>
        </w:tblCellMar>
      </w:tblPr>
      <w:tblGrid>
        <w:gridCol w:w="901"/>
        <w:gridCol w:w="226"/>
        <w:gridCol w:w="659"/>
        <w:gridCol w:w="166"/>
        <w:gridCol w:w="146"/>
        <w:gridCol w:w="650"/>
        <w:gridCol w:w="1600"/>
        <w:gridCol w:w="166"/>
        <w:gridCol w:w="146"/>
        <w:gridCol w:w="563"/>
        <w:gridCol w:w="1642"/>
        <w:gridCol w:w="211"/>
      </w:tblGrid>
      <w:tr>
        <w:trPr/>
        <w:tc>
          <w:tcPr>
            <w:tcW w:w="9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Result of 10% Price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Result of 10% Price Increase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Natural gas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NGL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Crude oil</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above contains all derivative instruments outstanding as of the stated date for the purpose of hedging commodity price risk, which we are exposed to due to our equity volumes and future commodity purchases and sales, as well as basis differentials related to our gas transportation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operating revenues increased (decreased) by $(57.8) million and $233.9 million during the three months ended June 30, 2026 and 2025, respectively, and $(301.5) million and $(57.4) million during the six months ended June 30, 2026 and 2025, respectively, as a result of transactions accounted for as derivatives. The estimated fair value of our risk management position has moved from a net liability position of $66.9 million at December 31, 2025 to a net liability position of $125.6 million at June 30, 2026. The net liability position on our derivative contracts is primarily attributable to unfavorable movement in natural gas forward basis prices.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exposed to the risk of changes in interest rates, primarily as a result of variable rate borrowings under the TRGP Revolver, the Commercial Paper Program and the Securitization Facility. As of June 30, 2026, we do not have any interest rate hedges. However, we may enter into interest rate hedges in the future with the intent to mitigate the impact of changes in interest rates on cash flows. To the extent that interest rates increase, interest expense for the TRGP Revolver, the Commercial Paper Program and the Securitization Facility will also increase. As of June 30, 2026, we had $1,051.3 million in outstanding variable rate borrowings. A hypothetical change of 100 basis points in the rate of our variable interest rate debt would impact our consolidated annual interest expense by $10.5 million based on our June 30, 2026 debt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Counterparty Credit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risk of losses resulting from nonpayment or nonperformance by our counterparties. The credit exposure related to commodity derivative instruments is represented by the fair value of the asset position (i.e. the fair value of expected future receipts) at the reporting date. Our futures contracts have limited credit risk since they are cleared through an exchange and are margined daily. Should the creditworthiness of one or more of the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 We have master netting provisions in the ISDA agreements with our derivative counterparties. These netting provisions allow us to net settle asset and liability positions with the same counterparties within the same Targa entity, and reduce our maximum loss due to counterparty credit risk by $24.8 million as of June 30, 2026. The range of losses attributable to our individual counterparties as of June 30, 2026 would be between $0.1 million and $9.9 million, depending on the counterparty in default.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Credit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extend credit to customers and other parties in the normal course of business. We have established various procedures to manage our credit exposure, including performing initial and subsequent credit risk analyses, setting maximum credit limits and terms and requiring credit enhancements when necessary. We use credit enhancements including (but not limited to) letters of credit, prepayments, parental guarantees and rights of offset to limit credit risk to ensure that our established credit criteria are followed and financial loss is mitigated or minimized.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active credit management process, which is focused on controlling loss exposure due to bankruptcies or other liquidity issues of counterparties. Our allowance for credit losses was $0.7 million and $0.7 million as of June 30, 2026 and December 31, 2025, respectively.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revenues from two customers within our Logistics and Transportation segment each represented approximately 10% of our consolidated revenues. During the six months ended June 30, 2026, revenues from one customer within our Logistics and Transportation segment represented approximately 10% of our consolidated revenues. No customer comprised 10% or greater of our consolidated revenues during the three and six months ended June 30,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4" w:name="item_4_controls_and_procedures"/>
      <w:bookmarkEnd w:id="2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with the participation of our Chief Executive Officer and Chief Financial Officer, has evaluated the design and effectiveness of our disclosure controls and procedures, as such term is defined in Rules 13a-15(e) and 15d-15(e) under the Exchange Act as of the end of the period covered in this Quarterly Report. Based on such evaluation, our Chief Executive Officer and Chief Financial Officer have concluded that, as of June 30, 2026, the design and operation of our disclosure controls and procedures were effective to provide reasonable assurance that information required to be disclosed in our reports filed or submitted under the Exchange Act is (i) recorded, processed, summarized and reported within the time periods specified in the rules and forms of the SEC, and (ii) accumulated and communicated to management, including our Chief Executive Officer and Chief Financial Officer, as appropriate, to allow for timely decisions regarding required disclosure.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part_ii_or_information"/>
      <w:bookmarkEnd w:id="25"/>
      <w:r>
        <w:rPr>
          <w:rFonts w:ascii="Times New Roman" w:hAnsi="Times New Roman"/>
          <w:b/>
          <w:color w:val="000000"/>
          <w:sz w:val="20"/>
        </w:rPr>
        <w:t>PART II – OTHER INFORMATION</w:t>
      </w:r>
    </w:p>
    <w:p>
      <w:pPr>
        <w:pStyle w:val="TextBody"/>
        <w:bidi w:val="0"/>
        <w:jc w:val="both"/>
        <w:rPr>
          <w:rFonts w:ascii="Times New Roman" w:hAnsi="Times New Roman"/>
          <w:b/>
          <w:color w:val="000000"/>
          <w:sz w:val="20"/>
        </w:rPr>
      </w:pPr>
      <w:bookmarkStart w:id="26" w:name="item_1_legal_proceedings"/>
      <w:bookmarkEnd w:id="26"/>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required for this item is provided in “Note 13 – Contingencies,” under the heading “Legal Proceedings” included in the Notes to Consolidated Financial Statements included under Part I, Item 1 of this Quarterly Report, which is incorporated by reference into this item.</w:t>
      </w:r>
    </w:p>
    <w:p>
      <w:pPr>
        <w:pStyle w:val="TextBody"/>
        <w:bidi w:val="0"/>
        <w:jc w:val="both"/>
        <w:rPr/>
      </w:pPr>
      <w:r>
        <w:rPr/>
        <w:t> </w:t>
      </w:r>
    </w:p>
    <w:p>
      <w:pPr>
        <w:pStyle w:val="TextBody"/>
        <w:bidi w:val="0"/>
        <w:jc w:val="both"/>
        <w:rPr>
          <w:rFonts w:ascii="Times New Roman" w:hAnsi="Times New Roman"/>
          <w:b/>
          <w:color w:val="000000"/>
          <w:sz w:val="20"/>
        </w:rPr>
      </w:pPr>
      <w:bookmarkStart w:id="27" w:name="item_1a_risk_factors"/>
      <w:bookmarkEnd w:id="27"/>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an in-depth discussion of our risk factors, see “Part I—Item 1A. Risk Factors” of our Annual Report. All of these risks and uncertainties could adversely affect our business, financial condition and/or results of operations.</w:t>
      </w:r>
    </w:p>
    <w:p>
      <w:pPr>
        <w:pStyle w:val="TextBody"/>
        <w:bidi w:val="0"/>
        <w:jc w:val="both"/>
        <w:rPr/>
      </w:pPr>
      <w:r>
        <w:rPr/>
        <w:t> </w:t>
      </w:r>
    </w:p>
    <w:p>
      <w:pPr>
        <w:pStyle w:val="TextBody"/>
        <w:bidi w:val="0"/>
        <w:jc w:val="both"/>
        <w:rPr>
          <w:rFonts w:ascii="Times New Roman" w:hAnsi="Times New Roman"/>
          <w:sz w:val="20"/>
        </w:rPr>
      </w:pPr>
      <w:bookmarkStart w:id="28" w:name="item_2_unregistered_sales_equity_securit"/>
      <w:bookmarkEnd w:id="2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Recent Sales of Unregistered Equity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Repurchase of Equity by Targa Resources Corp., or Affiliated Purchasers.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97"/>
        <w:gridCol w:w="146"/>
        <w:gridCol w:w="249"/>
        <w:gridCol w:w="1187"/>
        <w:gridCol w:w="146"/>
        <w:gridCol w:w="146"/>
        <w:gridCol w:w="273"/>
        <w:gridCol w:w="839"/>
        <w:gridCol w:w="146"/>
        <w:gridCol w:w="146"/>
        <w:gridCol w:w="391"/>
        <w:gridCol w:w="1862"/>
        <w:gridCol w:w="146"/>
        <w:gridCol w:w="146"/>
        <w:gridCol w:w="590"/>
        <w:gridCol w:w="2500"/>
        <w:gridCol w:w="195"/>
      </w:tblGrid>
      <w:tr>
        <w:trPr/>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approximate dollar value of shares that may yet be purchased under the plans (in thousands) (2)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1,297,584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1,297,584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1,238,498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Includes 308,102 shares purchased under our 2024 Share Repurchase Program, as well as 346 shares that were withheld by us to satisfy tax withholding obligations of certain of our officers, directors and key employees that arose upon the lapse of restrictions on restricted stock.</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In July 2024, our Board of Directors approved the 2024 Share Repurchase Program for the repurchase of up to $1.0 billion of our outstanding common stock. In addition, in August 2025, our Board of Directors approved the 2025 Share Repurchase Program for the repurchase of up to $1.0 billion of our outstanding common stock. We are not obligated to repurchase any specific dollar amount or number of shares under the Share Repurchase Programs and may discontinue these programs at any time.</w:t>
      </w:r>
    </w:p>
    <w:p>
      <w:pPr>
        <w:pStyle w:val="TextBody"/>
        <w:bidi w:val="0"/>
        <w:jc w:val="both"/>
        <w:rPr/>
      </w:pPr>
      <w:r>
        <w:rPr/>
        <w:t> </w:t>
      </w:r>
    </w:p>
    <w:p>
      <w:pPr>
        <w:pStyle w:val="TextBody"/>
        <w:bidi w:val="0"/>
        <w:jc w:val="both"/>
        <w:rPr>
          <w:rFonts w:ascii="Times New Roman" w:hAnsi="Times New Roman"/>
          <w:sz w:val="20"/>
        </w:rPr>
      </w:pPr>
      <w:bookmarkStart w:id="29" w:name="item_3_defaults_upon_senior_securities"/>
      <w:bookmarkEnd w:id="29"/>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30" w:name="item_4_mine_safety_disclosures"/>
      <w:bookmarkEnd w:id="30"/>
      <w:r>
        <w:rPr>
          <w:rFonts w:ascii="Times New Roman" w:hAnsi="Times New Roman"/>
          <w:b/>
          <w:color w:val="000000"/>
          <w:sz w:val="20"/>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sz w:val="20"/>
        </w:rPr>
      </w:pPr>
      <w:bookmarkStart w:id="31" w:name="item_5_or_information"/>
      <w:bookmarkEnd w:id="31"/>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Rule 10b-5 Trading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jc w:val="both"/>
        <w:rPr/>
      </w:pPr>
      <w:r>
        <w:rPr/>
        <w:t> </w:t>
      </w:r>
    </w:p>
    <w:p>
      <w:pPr>
        <w:pStyle w:val="TextBody"/>
        <w:bidi w:val="0"/>
        <w:jc w:val="both"/>
        <w:rPr>
          <w:rFonts w:ascii="Times New Roman" w:hAnsi="Times New Roman"/>
          <w:sz w:val="20"/>
        </w:rPr>
      </w:pPr>
      <w:bookmarkStart w:id="32" w:name="item_6_exhibits"/>
      <w:bookmarkEnd w:id="3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Targa Resources Corp. (incorporated by reference to Exhibit 3.1 to Targa Resources Corp.’s Current Report on Form 8-K filed December 16, 2010 (File No. 001-34991)).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Certificate of Amendment to the Amended and Restated Certificate of Incorporation of Targa Resources Corp. (incorporated by reference to Exhibit 3.1 to Targa Resources Corp.’s Current Report on Form 8-K filed May 26, 2021 (File No. 001-34991)).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Certificate of Designations of Series A Preferred Stock of Targa Resources Corp., filed with the Secretary of State of the State of Delaware on March 16, 2016 (incorporated by reference to Exhibit 3.1 to Targa Resources Corp.’s Current Report on Form 8-K/A filed March 17, 2016 (File No. 001-34991)).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146"/>
        <w:gridCol w:w="9322"/>
      </w:tblGrid>
      <w:tr>
        <w:trPr/>
        <w:tc>
          <w:tcPr>
            <w:tcW w:w="7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22" w:type="dxa"/>
            <w:tcBorders/>
            <w:shd w:fill="FFFFFF" w:val="clear"/>
            <w:vAlign w:val="center"/>
          </w:tcPr>
          <w:p>
            <w:pPr>
              <w:pStyle w:val="TableContents"/>
              <w:bidi w:val="0"/>
              <w:spacing w:before="0" w:after="283"/>
              <w:jc w:val="left"/>
              <w:rPr>
                <w:sz w:val="4"/>
                <w:szCs w:val="4"/>
              </w:rPr>
            </w:pPr>
            <w:r>
              <w:rPr>
                <w:sz w:val="4"/>
                <w:szCs w:val="4"/>
              </w:rPr>
            </w:r>
          </w:p>
        </w:tc>
      </w:tr>
      <w:tr>
        <w:trPr/>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Third Amended and Restated Bylaws of Targa Resources Corp. (incorporated by reference to Exhibit 3.1 to Targa Resources Corp.’s Current Report on Form 8-K filed December 12, 2023 (File No. 001-34991)).</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Seventeenth Amendment to Receivables Purchase Agreement, dated as of July 1, 2026, by and among Targa Receivables LLC, as seller, the Partnership, as servicer, the various conduit purchasers, committed purchasers, purchaser agents and LC participants party thereto and PNC Bank, National Association, as administrator and LC Bank (incorporated by reference to Exhibit 10.1 to Targa Resources Corp.’s Current Report on Form 8-K filed July 6, 2026 (File No. 001-34991)).</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hyperlink w:anchor="trgp-ex22_1.htm">
              <w:r>
                <w:rPr>
                  <w:rStyle w:val="InternetLink"/>
                  <w:rFonts w:ascii="Times New Roman" w:hAnsi="Times New Roman"/>
                  <w:color w:val="0000FF"/>
                  <w:sz w:val="20"/>
                  <w:u w:val="single"/>
                </w:rPr>
                <w:t>List of Subsidiary Guarantors.</w:t>
              </w:r>
            </w:hyperlink>
          </w:p>
        </w:tc>
      </w:tr>
      <w:tr>
        <w:trPr/>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rgp-ex31_1.htm">
              <w:r>
                <w:rPr>
                  <w:rStyle w:val="InternetLink"/>
                  <w:rFonts w:ascii="Times New Roman" w:hAnsi="Times New Roman"/>
                  <w:color w:val="0000FF"/>
                  <w:sz w:val="20"/>
                  <w:u w:val="single"/>
                </w:rPr>
                <w:t>Certification Pursuant to Section 302 of the Sarbanes-Oxley Act of 2002.</w:t>
              </w:r>
            </w:hyperlink>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rgp-ex31_2.htm">
              <w:r>
                <w:rPr>
                  <w:rStyle w:val="InternetLink"/>
                  <w:rFonts w:ascii="Times New Roman" w:hAnsi="Times New Roman"/>
                  <w:color w:val="0000FF"/>
                  <w:sz w:val="20"/>
                  <w:u w:val="single"/>
                </w:rPr>
                <w:t>Certification Pursuant to Section 302 of the Sarbanes-Oxley Act of 2002.</w:t>
              </w:r>
            </w:hyperlink>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rgp-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rgp-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222222"/>
                <w:sz w:val="20"/>
              </w:rPr>
            </w:pPr>
            <w:r>
              <w:rPr>
                <w:rFonts w:ascii="Times New Roman" w:hAnsi="Times New Roman"/>
                <w:color w:val="222222"/>
                <w:sz w:val="20"/>
              </w:rPr>
              <w:t>Inline XBRL Instance Document – The instance document does not appear in the interactive data file because its XBRL tags are embedded within the Inline XBRL document</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222222"/>
                <w:sz w:val="20"/>
              </w:rPr>
            </w:pPr>
            <w:r>
              <w:rPr>
                <w:rFonts w:ascii="Times New Roman" w:hAnsi="Times New Roman"/>
                <w:color w:val="222222"/>
                <w:sz w:val="20"/>
              </w:rPr>
              <w:t xml:space="preserve">The cover page from this Quarterly Report on Form 10-Q for the quarter ended June 30, 2026, formatted in Inline XBRL (included with Exhibit 101 attachments). </w:t>
            </w:r>
          </w:p>
        </w:tc>
      </w:tr>
      <w:tr>
        <w:trPr/>
        <w:tc>
          <w:tcPr>
            <w:tcW w:w="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pBdr>
          <w:bottom w:val="single" w:sz="4" w:space="1" w:color="000000"/>
        </w:pBdr>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1846"/>
        <w:gridCol w:w="451"/>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Targa Resources Corp.</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6, 2026</w:t>
            </w:r>
          </w:p>
        </w:tc>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u w:val="single"/>
              </w:rPr>
            </w:pPr>
            <w:r>
              <w:rPr>
                <w:rFonts w:ascii="Times New Roman" w:hAnsi="Times New Roman"/>
                <w:i/>
                <w:color w:val="000000"/>
                <w:sz w:val="20"/>
                <w:u w:val="single"/>
              </w:rPr>
              <w:t>/s/ William A. Byers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A. Byers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trgp-ex22_1.htm"/>
      <w:bookmarkStart w:id="35" w:name="kstrgpex22_1"/>
      <w:bookmarkEnd w:id="34"/>
      <w:bookmarkEnd w:id="35"/>
      <w:r>
        <w:rPr>
          <w:rFonts w:ascii="Times New Roman" w:hAnsi="Times New Roman"/>
          <w:b/>
          <w:color w:val="000000"/>
          <w:sz w:val="20"/>
        </w:rPr>
        <w:t>Exhibit 22.1</w:t>
      </w:r>
      <w:r>
        <w:br w:type="page"/>
      </w:r>
    </w:p>
    <w:p>
      <w:pPr>
        <w:pStyle w:val="TextBody"/>
        <w:bidi w:val="0"/>
        <w:jc w:val="left"/>
        <w:rPr>
          <w:rFonts w:ascii="Times New Roman" w:hAnsi="Times New Roman"/>
          <w:sz w:val="20"/>
        </w:rPr>
      </w:pPr>
      <w:r>
        <w:rPr>
          <w:rFonts w:ascii="Times New Roman" w:hAnsi="Times New Roman"/>
          <w:b/>
          <w:color w:val="000000"/>
          <w:sz w:val="20"/>
        </w:rPr>
        <w:t>List of Subsidiary Guarantors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below entities guarantee the Senior Unsecured Notes of Targa Resources Corp., the issuer.</w:t>
      </w:r>
    </w:p>
    <w:p>
      <w:pPr>
        <w:pStyle w:val="TextBody"/>
        <w:bidi w:val="0"/>
        <w:jc w:val="left"/>
        <w:rPr/>
      </w:pPr>
      <w:r>
        <w:rPr/>
        <w:t> </w:t>
      </w:r>
    </w:p>
    <w:tbl>
      <w:tblPr>
        <w:tblW w:w="6778" w:type="dxa"/>
        <w:jc w:val="left"/>
        <w:tblInd w:w="0" w:type="dxa"/>
        <w:tblLayout w:type="fixed"/>
        <w:tblCellMar>
          <w:top w:w="28" w:type="dxa"/>
          <w:left w:w="28" w:type="dxa"/>
          <w:bottom w:w="28" w:type="dxa"/>
          <w:right w:w="28" w:type="dxa"/>
        </w:tblCellMar>
      </w:tblPr>
      <w:tblGrid>
        <w:gridCol w:w="3181"/>
        <w:gridCol w:w="146"/>
        <w:gridCol w:w="3451"/>
      </w:tblGrid>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51" w:type="dxa"/>
            <w:tcBorders/>
            <w:shd w:fill="FFFFFF" w:val="clear"/>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 of Incorporation or Organization</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Energy GP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Energy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GP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LP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Resources Finance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Resources GP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Resources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Targa Resources Partners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trgp-ex31_1.htm"/>
      <w:bookmarkStart w:id="37" w:name="kstrgpex31_1"/>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RULE 13A-14(A) AND RULE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Matthew J. Meloy,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Targa Resources Corp. (the “registrant”);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Matthew J. Meloy</w:t>
      </w:r>
    </w:p>
    <w:p>
      <w:pPr>
        <w:pStyle w:val="TextBody"/>
        <w:bidi w:val="0"/>
        <w:jc w:val="both"/>
        <w:rPr>
          <w:rFonts w:ascii="Times New Roman" w:hAnsi="Times New Roman"/>
          <w:color w:val="000000"/>
          <w:sz w:val="20"/>
        </w:rPr>
      </w:pPr>
      <w:r>
        <w:rPr>
          <w:rFonts w:ascii="Times New Roman" w:hAnsi="Times New Roman"/>
          <w:color w:val="000000"/>
          <w:sz w:val="20"/>
        </w:rPr>
        <w:t>Name: Matthew J. Meloy</w:t>
      </w:r>
    </w:p>
    <w:p>
      <w:pPr>
        <w:pStyle w:val="TextBody"/>
        <w:bidi w:val="0"/>
        <w:jc w:val="both"/>
        <w:rPr>
          <w:rFonts w:ascii="Times New Roman" w:hAnsi="Times New Roman"/>
          <w:color w:val="000000"/>
          <w:sz w:val="20"/>
        </w:rPr>
      </w:pPr>
      <w:r>
        <w:rPr>
          <w:rFonts w:ascii="Times New Roman" w:hAnsi="Times New Roman"/>
          <w:color w:val="000000"/>
          <w:sz w:val="20"/>
        </w:rPr>
        <w:t>Title: Chief Executive Officer of Targa Resources Corp.</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trgp-ex31_2.htm"/>
      <w:bookmarkStart w:id="39" w:name="kstrgpex31_2"/>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RULE 13A-14(A) AND RULE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William A. Byers,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I have reviewed this Quarterly Report on Form 10-Q of Targa Resources Corp. (the “registrant”);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William A. Byers</w:t>
      </w:r>
    </w:p>
    <w:p>
      <w:pPr>
        <w:pStyle w:val="TextBody"/>
        <w:bidi w:val="0"/>
        <w:jc w:val="both"/>
        <w:rPr>
          <w:rFonts w:ascii="Times New Roman" w:hAnsi="Times New Roman"/>
          <w:color w:val="000000"/>
          <w:sz w:val="20"/>
        </w:rPr>
      </w:pPr>
      <w:r>
        <w:rPr>
          <w:rFonts w:ascii="Times New Roman" w:hAnsi="Times New Roman"/>
          <w:color w:val="000000"/>
          <w:sz w:val="20"/>
        </w:rPr>
        <w:t>Name: William A. Byers</w:t>
      </w:r>
    </w:p>
    <w:p>
      <w:pPr>
        <w:pStyle w:val="TextBody"/>
        <w:bidi w:val="0"/>
        <w:jc w:val="both"/>
        <w:rPr>
          <w:rFonts w:ascii="Times New Roman" w:hAnsi="Times New Roman"/>
          <w:color w:val="000000"/>
          <w:sz w:val="20"/>
        </w:rPr>
      </w:pPr>
      <w:r>
        <w:rPr>
          <w:rFonts w:ascii="Times New Roman" w:hAnsi="Times New Roman"/>
          <w:color w:val="000000"/>
          <w:sz w:val="20"/>
        </w:rPr>
        <w:t>Title: Chief Financial Officer of Targa Resources Corp.</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trgp-ex32_1.htm"/>
      <w:bookmarkStart w:id="41" w:name="kstrgpex32_1"/>
      <w:bookmarkEnd w:id="40"/>
      <w:bookmarkEnd w:id="4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Targa Resources Corp., for the three months ended June 30, 2026 as filed with the Securities and Exchange Commission on the date hereof (the “Report”), Matthew J. Meloy, as Chief Executive Officer of Targa Resources Corp., hereby certifies, pursuant to 18 U.S.C. Section 1350, as adopted pursuant to Section 906 of the Sarbanes-Oxley Act of 2002, that, to his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Targa Resources Corp.</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Matthew J. Meloy</w:t>
      </w:r>
    </w:p>
    <w:p>
      <w:pPr>
        <w:pStyle w:val="TextBody"/>
        <w:bidi w:val="0"/>
        <w:jc w:val="both"/>
        <w:rPr>
          <w:rFonts w:ascii="Times New Roman" w:hAnsi="Times New Roman"/>
          <w:color w:val="000000"/>
          <w:sz w:val="20"/>
        </w:rPr>
      </w:pPr>
      <w:r>
        <w:rPr>
          <w:rFonts w:ascii="Times New Roman" w:hAnsi="Times New Roman"/>
          <w:color w:val="000000"/>
          <w:sz w:val="20"/>
        </w:rPr>
        <w:t>Name: Matthew J. Meloy</w:t>
      </w:r>
    </w:p>
    <w:p>
      <w:pPr>
        <w:pStyle w:val="TextBody"/>
        <w:bidi w:val="0"/>
        <w:jc w:val="both"/>
        <w:rPr>
          <w:rFonts w:ascii="Times New Roman" w:hAnsi="Times New Roman"/>
          <w:color w:val="000000"/>
          <w:sz w:val="20"/>
        </w:rPr>
      </w:pPr>
      <w:r>
        <w:rPr>
          <w:rFonts w:ascii="Times New Roman" w:hAnsi="Times New Roman"/>
          <w:color w:val="000000"/>
          <w:sz w:val="20"/>
        </w:rPr>
        <w:t>Title: Chief Executive Officer of Targa Resources Corp.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trgp-ex32_2.htm"/>
      <w:bookmarkStart w:id="43" w:name="kstrgpex32_2"/>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Quarterly Report on Form 10-Q of Targa Resources Corp., for the three months ended June 30, 2026 as filed with the Securities and Exchange Commission on the date hereof (the “Report”), William A. Byers, as Chief Financial Officer of Targa Resources Corp., hereby certifies, pursuant to 18 U.S.C. Section 1350, as adopted pursuant to Section 906 of the Sarbanes-Oxley Act of 2002, that, to his knowledge: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Targa Resources Corp.</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/s/ William A. Byers</w:t>
      </w:r>
    </w:p>
    <w:p>
      <w:pPr>
        <w:pStyle w:val="TextBody"/>
        <w:bidi w:val="0"/>
        <w:jc w:val="both"/>
        <w:rPr>
          <w:rFonts w:ascii="Times New Roman" w:hAnsi="Times New Roman"/>
          <w:color w:val="000000"/>
          <w:sz w:val="20"/>
        </w:rPr>
      </w:pPr>
      <w:r>
        <w:rPr>
          <w:rFonts w:ascii="Times New Roman" w:hAnsi="Times New Roman"/>
          <w:color w:val="000000"/>
          <w:sz w:val="20"/>
        </w:rPr>
        <w:t>Name: William A. Byers</w:t>
      </w:r>
    </w:p>
    <w:p>
      <w:pPr>
        <w:pStyle w:val="TextBody"/>
        <w:bidi w:val="0"/>
        <w:jc w:val="both"/>
        <w:rPr>
          <w:rFonts w:ascii="Times New Roman" w:hAnsi="Times New Roman"/>
          <w:color w:val="000000"/>
          <w:sz w:val="20"/>
        </w:rPr>
      </w:pPr>
      <w:r>
        <w:rPr>
          <w:rFonts w:ascii="Times New Roman" w:hAnsi="Times New Roman"/>
          <w:color w:val="000000"/>
          <w:sz w:val="20"/>
        </w:rPr>
        <w:t>Title: Chief Financial Officer of Targa Resources Corp.</w:t>
      </w:r>
    </w:p>
    <w:p>
      <w:pPr>
        <w:pStyle w:val="TextBody"/>
        <w:bidi w:val="0"/>
        <w:jc w:val="both"/>
        <w:rPr>
          <w:rFonts w:ascii="Times New Roman" w:hAnsi="Times New Roman"/>
          <w:color w:val="000000"/>
          <w:sz w:val="20"/>
        </w:rPr>
      </w:pPr>
      <w:r>
        <w:rPr>
          <w:rFonts w:ascii="Times New Roman" w:hAnsi="Times New Roman"/>
          <w:color w:val="000000"/>
          <w:sz w:val="20"/>
        </w:rPr>
        <w:t>(Principal Financial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Targa and will be retained by Targa and furnished to the Securities and Exchange Commission or its staff upon request.</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89170/000095012310114218/h78297exv3w1.htm" TargetMode="External"/><Relationship Id="rId4" Type="http://schemas.openxmlformats.org/officeDocument/2006/relationships/hyperlink" Target="https://www.sec.gov/Archives/edgar/data/1389170/000119312521173640/d140306dex31.htm" TargetMode="External"/><Relationship Id="rId5" Type="http://schemas.openxmlformats.org/officeDocument/2006/relationships/hyperlink" Target="https://www.sec.gov/Archives/edgar/data/1389170/000119312516508783/d198929dex31.htm" TargetMode="External"/><Relationship Id="rId6" Type="http://schemas.openxmlformats.org/officeDocument/2006/relationships/hyperlink" Target="https://www.sec.gov/Archives/edgar/data/1389170/000119312523293420/d583397dex31.htm" TargetMode="External"/><Relationship Id="rId7" Type="http://schemas.openxmlformats.org/officeDocument/2006/relationships/hyperlink" Target="https://www.sec.gov/Archives/edgar/data/1389170/000119312526296255/d116740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26941</Words>
  <Characters>148413</Characters>
  <CharactersWithSpaces>179681</CharactersWithSpaces>
  <Paragraphs>13930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