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Chung Paul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 LOUISIANA, SUITE 2100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Targa Resources Corp.</w:t>
              </w:r>
            </w:hyperlink>
            <w:r>
              <w:rPr/>
              <w:t xml:space="preserve"> [ </w:t>
            </w:r>
            <w:r>
              <w:rPr>
                <w:rFonts w:ascii="Times;serif" w:hAnsi="Times;serif"/>
                <w:color w:val="0000FF"/>
                <w:sz w:val="24"/>
                <w:shd w:fill="FFFFFF" w:val="clear"/>
              </w:rPr>
              <w:t>TRGP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3"/>
        <w:gridCol w:w="912"/>
        <w:gridCol w:w="782"/>
        <w:gridCol w:w="606"/>
        <w:gridCol w:w="343"/>
        <w:gridCol w:w="823"/>
        <w:gridCol w:w="433"/>
        <w:gridCol w:w="982"/>
        <w:gridCol w:w="1131"/>
        <w:gridCol w:w="976"/>
        <w:gridCol w:w="108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295.381</w:t>
            </w: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44,816</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r>
        <w:trPr/>
        <w:tc>
          <w:tcPr>
            <w:tcW w:w="21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r>
        <w:trPr/>
        <w:tc>
          <w:tcPr>
            <w:tcW w:w="21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30,479</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232,827</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200,500</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$295.05 to $295.73, inclusive. The reporting person undertakes to provide to Targa Resources Corp., any security holder of Targa Resources Corp., or the staff of the United States Securities and Exchange Commission, upon request, full information regarding the number of shares sold at each separate price within the range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Paul Chung 2008 Family Trust, of which Mr. Chung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Helen Chung 2007 Family Trust, of which Mr. Chung's spouse and Mr. Chung's sister-in-law serve as co-trustees.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W. Chung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7728" TargetMode="External"/><Relationship Id="rId5" Type="http://schemas.openxmlformats.org/officeDocument/2006/relationships/hyperlink" Target="http://www.sec.gov/cgi-bin/browse-edgar?action=getcompany&amp;CIK=0001389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3784</Characters>
  <CharactersWithSpaces>4408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